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88" w:rsidRPr="001111BA" w:rsidRDefault="00EC3D88" w:rsidP="001A66DE">
      <w:pPr>
        <w:jc w:val="center"/>
        <w:rPr>
          <w:b/>
          <w:sz w:val="28"/>
          <w:szCs w:val="28"/>
        </w:rPr>
      </w:pPr>
    </w:p>
    <w:p w:rsidR="00EC3D88" w:rsidRPr="001111BA" w:rsidRDefault="00434206" w:rsidP="001A66DE">
      <w:pPr>
        <w:jc w:val="center"/>
        <w:rPr>
          <w:b/>
          <w:sz w:val="28"/>
          <w:szCs w:val="28"/>
        </w:rPr>
      </w:pPr>
      <w:r w:rsidRPr="001111BA">
        <w:rPr>
          <w:b/>
          <w:sz w:val="28"/>
          <w:szCs w:val="28"/>
        </w:rPr>
        <w:t>NEMZETI ÉLELMISZERLÁNC-BIZTONSÁGI HIVATAL</w:t>
      </w:r>
      <w:r w:rsidR="00EC3D88" w:rsidRPr="001111BA">
        <w:rPr>
          <w:b/>
          <w:sz w:val="28"/>
          <w:szCs w:val="28"/>
        </w:rPr>
        <w:t xml:space="preserve"> </w:t>
      </w:r>
    </w:p>
    <w:p w:rsidR="00EC3D88" w:rsidRPr="001111BA" w:rsidRDefault="00EC3D88" w:rsidP="001A66DE">
      <w:pPr>
        <w:jc w:val="center"/>
        <w:rPr>
          <w:b/>
          <w:sz w:val="28"/>
          <w:szCs w:val="28"/>
        </w:rPr>
      </w:pPr>
    </w:p>
    <w:p w:rsidR="00EC3D88" w:rsidRPr="001111BA" w:rsidRDefault="00EC3D88" w:rsidP="001A66DE">
      <w:pPr>
        <w:jc w:val="center"/>
        <w:rPr>
          <w:b/>
        </w:rPr>
      </w:pPr>
      <w:r w:rsidRPr="001111BA">
        <w:rPr>
          <w:b/>
        </w:rPr>
        <w:t>NÖVÉNY-, TALAJ- ÉS AGRÁRKÖRNYEZET-VÉDELMI IGAZGATÓSÁG</w:t>
      </w:r>
    </w:p>
    <w:p w:rsidR="00EC3D88" w:rsidRPr="001111BA" w:rsidRDefault="00EC3D88" w:rsidP="001A66DE">
      <w:pPr>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1A0DF1" w:rsidRPr="001111BA" w:rsidTr="00910148">
        <w:tc>
          <w:tcPr>
            <w:tcW w:w="9212" w:type="dxa"/>
            <w:shd w:val="clear" w:color="auto" w:fill="C2D69B"/>
          </w:tcPr>
          <w:p w:rsidR="001A0DF1" w:rsidRPr="001111BA" w:rsidRDefault="007F75BD" w:rsidP="007F75BD">
            <w:pPr>
              <w:jc w:val="center"/>
              <w:rPr>
                <w:b/>
                <w:i/>
              </w:rPr>
            </w:pPr>
            <w:r w:rsidRPr="001111BA">
              <w:rPr>
                <w:b/>
                <w:sz w:val="32"/>
                <w:szCs w:val="32"/>
              </w:rPr>
              <w:t>NÖVÉNYVÉDŐ SZER ÉS TERMÉSNÖVELŐ ANYAG ENGEDÉLYEZÉS</w:t>
            </w:r>
          </w:p>
        </w:tc>
      </w:tr>
    </w:tbl>
    <w:p w:rsidR="001A0DF1" w:rsidRPr="001111BA" w:rsidRDefault="001A0DF1" w:rsidP="001A0DF1">
      <w:pPr>
        <w:jc w:val="both"/>
        <w:rPr>
          <w:b/>
        </w:rPr>
      </w:pPr>
    </w:p>
    <w:p w:rsidR="00EC3D88" w:rsidRPr="001111BA" w:rsidRDefault="00EC3D88" w:rsidP="001A66DE">
      <w:pPr>
        <w:jc w:val="both"/>
      </w:pPr>
    </w:p>
    <w:p w:rsidR="00EC3D88" w:rsidRPr="001111BA" w:rsidRDefault="00EC3D88" w:rsidP="001A66DE">
      <w:pPr>
        <w:jc w:val="center"/>
        <w:rPr>
          <w:sz w:val="44"/>
          <w:szCs w:val="44"/>
        </w:rPr>
      </w:pPr>
      <w:r w:rsidRPr="001111BA">
        <w:rPr>
          <w:rFonts w:ascii="Monotype Corsiva" w:hAnsi="Monotype Corsiva"/>
          <w:b/>
          <w:sz w:val="44"/>
          <w:szCs w:val="44"/>
        </w:rPr>
        <w:t>HÍRLEVELE</w:t>
      </w:r>
    </w:p>
    <w:p w:rsidR="00EC3D88" w:rsidRPr="001111BA" w:rsidRDefault="00EC3D88" w:rsidP="001A66DE">
      <w:pPr>
        <w:jc w:val="both"/>
      </w:pPr>
    </w:p>
    <w:p w:rsidR="00EC3D88" w:rsidRPr="001111BA" w:rsidRDefault="00EC3D88" w:rsidP="001A66DE">
      <w:pPr>
        <w:jc w:val="both"/>
        <w:rPr>
          <w:b/>
        </w:rPr>
      </w:pPr>
      <w:r w:rsidRPr="001111BA">
        <w:rPr>
          <w:b/>
        </w:rPr>
        <w:t>201</w:t>
      </w:r>
      <w:r w:rsidR="004968CA" w:rsidRPr="001111BA">
        <w:rPr>
          <w:b/>
        </w:rPr>
        <w:t>6</w:t>
      </w:r>
      <w:r w:rsidRPr="001111BA">
        <w:rPr>
          <w:b/>
        </w:rPr>
        <w:t xml:space="preserve">. </w:t>
      </w:r>
      <w:r w:rsidR="004968CA" w:rsidRPr="001111BA">
        <w:rPr>
          <w:b/>
        </w:rPr>
        <w:t>január</w:t>
      </w:r>
    </w:p>
    <w:p w:rsidR="00EC3D88" w:rsidRPr="001111BA" w:rsidRDefault="00AB6F2C" w:rsidP="001A66DE">
      <w:r w:rsidRPr="001111BA">
        <w:t>Írják</w:t>
      </w:r>
      <w:r w:rsidR="00EC3D88" w:rsidRPr="001111BA">
        <w:t xml:space="preserve">: az engedélyezési mérnökszakértők </w:t>
      </w:r>
    </w:p>
    <w:p w:rsidR="00EC3D88" w:rsidRPr="001111BA" w:rsidRDefault="00EE7D24" w:rsidP="001A66DE">
      <w:pPr>
        <w:jc w:val="both"/>
        <w:rPr>
          <w:highlight w:val="yellow"/>
        </w:rPr>
      </w:pPr>
      <w:r w:rsidRPr="001111BA">
        <w:t>F</w:t>
      </w:r>
      <w:r w:rsidR="00AB6F2C" w:rsidRPr="001111BA">
        <w:t>elelős</w:t>
      </w:r>
      <w:r w:rsidR="00AD1AF1" w:rsidRPr="001111BA">
        <w:t xml:space="preserve"> szerkesztő</w:t>
      </w:r>
      <w:r w:rsidR="00AB6F2C" w:rsidRPr="001111BA">
        <w:t>: dr. Tőkés Gábor</w:t>
      </w:r>
    </w:p>
    <w:p w:rsidR="00AB6F2C" w:rsidRPr="001111BA" w:rsidRDefault="00AB6F2C" w:rsidP="001A66DE">
      <w:pPr>
        <w:jc w:val="both"/>
        <w:rPr>
          <w:highlight w:val="yellow"/>
        </w:rPr>
      </w:pPr>
    </w:p>
    <w:p w:rsidR="00BB126F" w:rsidRPr="001111BA" w:rsidRDefault="00EC3D88" w:rsidP="001A66DE">
      <w:pPr>
        <w:jc w:val="both"/>
      </w:pPr>
      <w:r w:rsidRPr="001111BA">
        <w:t xml:space="preserve">A </w:t>
      </w:r>
      <w:r w:rsidR="00657B6A" w:rsidRPr="001111BA">
        <w:t>Nemzeti Élelmis</w:t>
      </w:r>
      <w:r w:rsidR="00434206" w:rsidRPr="001111BA">
        <w:t>z</w:t>
      </w:r>
      <w:r w:rsidR="00657B6A" w:rsidRPr="001111BA">
        <w:t>e</w:t>
      </w:r>
      <w:r w:rsidR="00434206" w:rsidRPr="001111BA">
        <w:t>rlánc-biztonsági</w:t>
      </w:r>
      <w:r w:rsidRPr="001111BA">
        <w:t xml:space="preserve"> Hivatal Növény-, Talaj és Agrárkörnyezet-védelmi Igazgatóság (</w:t>
      </w:r>
      <w:r w:rsidR="00434206" w:rsidRPr="001111BA">
        <w:t>NÉBIH</w:t>
      </w:r>
      <w:r w:rsidRPr="001111BA">
        <w:t xml:space="preserve"> NTAI) engedélyezési szakterületének címe: </w:t>
      </w:r>
    </w:p>
    <w:p w:rsidR="00EC3D88" w:rsidRPr="001111BA" w:rsidRDefault="00EC3D88" w:rsidP="001A66DE">
      <w:pPr>
        <w:jc w:val="both"/>
      </w:pPr>
      <w:r w:rsidRPr="001111BA">
        <w:t>1118 Budapest, Budaörsi út 141-145.</w:t>
      </w:r>
    </w:p>
    <w:p w:rsidR="00EC3D88" w:rsidRPr="001111BA" w:rsidRDefault="00EC3D88" w:rsidP="001A66DE">
      <w:pPr>
        <w:jc w:val="both"/>
      </w:pPr>
      <w:r w:rsidRPr="001111BA">
        <w:t xml:space="preserve">A </w:t>
      </w:r>
      <w:r w:rsidR="00434206" w:rsidRPr="001111BA">
        <w:t>NÉBIH</w:t>
      </w:r>
      <w:r w:rsidRPr="001111BA">
        <w:t xml:space="preserve"> NTAI postacíme: </w:t>
      </w:r>
      <w:r w:rsidRPr="001111BA">
        <w:rPr>
          <w:bCs/>
        </w:rPr>
        <w:t>1506 Budapest, Pf.:</w:t>
      </w:r>
      <w:r w:rsidR="000B609B" w:rsidRPr="001111BA">
        <w:rPr>
          <w:bCs/>
        </w:rPr>
        <w:t xml:space="preserve"> </w:t>
      </w:r>
      <w:r w:rsidRPr="001111BA">
        <w:rPr>
          <w:bCs/>
        </w:rPr>
        <w:t>57</w:t>
      </w:r>
      <w:r w:rsidRPr="001111BA">
        <w:t>.</w:t>
      </w:r>
    </w:p>
    <w:p w:rsidR="00EC3D88" w:rsidRPr="001111BA" w:rsidRDefault="00EC3D88" w:rsidP="001A66DE">
      <w:pPr>
        <w:jc w:val="both"/>
      </w:pPr>
      <w:r w:rsidRPr="001111BA">
        <w:t xml:space="preserve">Személyes bejelentkezés: </w:t>
      </w:r>
      <w:r w:rsidR="00434206" w:rsidRPr="001111BA">
        <w:t>Takácsné Kiss Rita</w:t>
      </w:r>
      <w:r w:rsidR="00BB126F" w:rsidRPr="001111BA">
        <w:t>, telefon: 36-1/309-1017</w:t>
      </w:r>
    </w:p>
    <w:p w:rsidR="00EC3D88" w:rsidRPr="001111BA" w:rsidRDefault="00EC3D88" w:rsidP="001A66DE">
      <w:pPr>
        <w:jc w:val="both"/>
      </w:pPr>
    </w:p>
    <w:p w:rsidR="00D37C37" w:rsidRPr="001111BA" w:rsidRDefault="00D37C37" w:rsidP="008C57A3">
      <w:pPr>
        <w:jc w:val="both"/>
        <w:rPr>
          <w:highlight w:val="yellow"/>
        </w:rPr>
      </w:pPr>
    </w:p>
    <w:p w:rsidR="00EC3D88" w:rsidRPr="001111BA" w:rsidRDefault="00D75757" w:rsidP="001A66DE">
      <w:pPr>
        <w:rPr>
          <w:b/>
          <w:u w:val="single"/>
        </w:rPr>
      </w:pPr>
      <w:r w:rsidRPr="001111BA">
        <w:rPr>
          <w:b/>
          <w:u w:val="single"/>
        </w:rPr>
        <w:t>B</w:t>
      </w:r>
      <w:r w:rsidR="00546930" w:rsidRPr="001111BA">
        <w:rPr>
          <w:b/>
          <w:u w:val="single"/>
        </w:rPr>
        <w:t>eköszöntő</w:t>
      </w:r>
      <w:r w:rsidR="00AD1957" w:rsidRPr="001111BA">
        <w:rPr>
          <w:b/>
          <w:u w:val="single"/>
        </w:rPr>
        <w:t xml:space="preserve"> </w:t>
      </w:r>
    </w:p>
    <w:p w:rsidR="008D085F" w:rsidRPr="001111BA" w:rsidRDefault="008D085F" w:rsidP="00066B10">
      <w:pPr>
        <w:jc w:val="center"/>
      </w:pPr>
    </w:p>
    <w:p w:rsidR="009D5CA0" w:rsidRPr="001111BA" w:rsidRDefault="0022329D" w:rsidP="00F37DEE">
      <w:pPr>
        <w:jc w:val="both"/>
      </w:pPr>
      <w:r w:rsidRPr="001111BA">
        <w:t xml:space="preserve">Tisztelt </w:t>
      </w:r>
      <w:r w:rsidR="00FE5900" w:rsidRPr="001111BA">
        <w:t>Engedélytulajdonosok</w:t>
      </w:r>
      <w:r w:rsidRPr="001111BA">
        <w:t xml:space="preserve">, </w:t>
      </w:r>
      <w:r w:rsidR="00FE5900" w:rsidRPr="001111BA">
        <w:t>Gyártók</w:t>
      </w:r>
      <w:r w:rsidRPr="001111BA">
        <w:t xml:space="preserve">, </w:t>
      </w:r>
      <w:r w:rsidR="00FE5900" w:rsidRPr="001111BA">
        <w:t>Forgalmazók</w:t>
      </w:r>
      <w:r w:rsidRPr="001111BA">
        <w:t>!</w:t>
      </w:r>
    </w:p>
    <w:p w:rsidR="0022329D" w:rsidRPr="001111BA" w:rsidRDefault="0022329D" w:rsidP="00F37DEE">
      <w:pPr>
        <w:jc w:val="both"/>
      </w:pPr>
    </w:p>
    <w:p w:rsidR="0022329D" w:rsidRPr="001111BA" w:rsidRDefault="0022329D" w:rsidP="00F37DEE">
      <w:pPr>
        <w:jc w:val="both"/>
      </w:pPr>
      <w:r w:rsidRPr="001111BA">
        <w:t>Újra szükségesnek láttuk, hogy a növényvédő szer engedélyezés aktuális kérdéseiről és az utóbbi időben bekövetkezett változásokról tájékoztassuk Önöket.</w:t>
      </w:r>
    </w:p>
    <w:p w:rsidR="0022329D" w:rsidRPr="001111BA" w:rsidRDefault="008C0067" w:rsidP="00F37DEE">
      <w:pPr>
        <w:jc w:val="both"/>
      </w:pPr>
      <w:r w:rsidRPr="001111BA">
        <w:t xml:space="preserve">2015-ben </w:t>
      </w:r>
      <w:r w:rsidR="004C5E4B" w:rsidRPr="001111BA">
        <w:t>újabb intézkedései váltak ’élessé’ a 1107/2009</w:t>
      </w:r>
      <w:r w:rsidR="00990AF5">
        <w:t>/</w:t>
      </w:r>
      <w:r w:rsidR="004C5E4B" w:rsidRPr="001111BA">
        <w:t xml:space="preserve">EK engedélyezési rendeletnek. </w:t>
      </w:r>
    </w:p>
    <w:p w:rsidR="0022329D" w:rsidRPr="001111BA" w:rsidRDefault="004C5E4B" w:rsidP="00F37DEE">
      <w:pPr>
        <w:jc w:val="both"/>
      </w:pPr>
      <w:r w:rsidRPr="001111BA">
        <w:t xml:space="preserve">A legtöbb izgalmat </w:t>
      </w:r>
      <w:r w:rsidR="00B14682" w:rsidRPr="001111BA">
        <w:t xml:space="preserve">kiváltó vita a </w:t>
      </w:r>
      <w:r w:rsidR="00B14682" w:rsidRPr="001111BA">
        <w:rPr>
          <w:b/>
        </w:rPr>
        <w:t>43-as cikkely</w:t>
      </w:r>
      <w:r w:rsidR="00B14682" w:rsidRPr="001111BA">
        <w:t xml:space="preserve"> szerinti új felülvizsgálattal kapcsolatban zajlott. </w:t>
      </w:r>
      <w:r w:rsidR="00730155" w:rsidRPr="001111BA">
        <w:t xml:space="preserve">Bár a Bizottság is támogatta az eljárás módosítását, de mivel ez most nem volt lehetséges, a jelenlegi jogi keretekhez kell kialakítaniuk a tagállamoknak egy élhető gyakorlatot, az irreálisan rövid határidők ellenére. </w:t>
      </w:r>
      <w:r w:rsidR="00A042B4" w:rsidRPr="001111BA">
        <w:t>Az</w:t>
      </w:r>
      <w:r w:rsidR="00A042B4" w:rsidRPr="001111BA">
        <w:rPr>
          <w:b/>
        </w:rPr>
        <w:t xml:space="preserve"> </w:t>
      </w:r>
      <w:r w:rsidR="00730155" w:rsidRPr="001111BA">
        <w:rPr>
          <w:b/>
        </w:rPr>
        <w:t>összehasonlító értékelés</w:t>
      </w:r>
      <w:r w:rsidR="00730155" w:rsidRPr="001111BA">
        <w:t xml:space="preserve"> is új feladatként jelentkezik, az eljárás pedig – mivel nemzeti hatáskörben van – tagállamonként változhat. </w:t>
      </w:r>
    </w:p>
    <w:p w:rsidR="00730155" w:rsidRPr="001111BA" w:rsidRDefault="00730155" w:rsidP="00F37DEE">
      <w:pPr>
        <w:jc w:val="both"/>
      </w:pPr>
      <w:r w:rsidRPr="001111BA">
        <w:t xml:space="preserve">Konszenzus hiányában egyelőre nem született végleges útmutató a </w:t>
      </w:r>
      <w:r w:rsidRPr="001111BA">
        <w:rPr>
          <w:b/>
        </w:rPr>
        <w:t>34. cikkely</w:t>
      </w:r>
      <w:r w:rsidRPr="001111BA">
        <w:t xml:space="preserve"> szerinti (adatbenyújtási mentességet kihasználó) kérelmek kezeléséről, de a túlnyomó többség által elfogadott szöveget munkadokumentumként fel tudják használni a hatóságok. Az általunk követendőnek tartott eljárásról is írunk. A készítmények eltarthatóságával és a gyűjtőcsomagokkal kapcsolatban szükségessé vált néhány pontosítás a tapasztal</w:t>
      </w:r>
      <w:r w:rsidR="00EC7ED1">
        <w:t>a</w:t>
      </w:r>
      <w:r w:rsidRPr="001111BA">
        <w:t xml:space="preserve">tok alapján. </w:t>
      </w:r>
    </w:p>
    <w:p w:rsidR="00730155" w:rsidRPr="001111BA" w:rsidRDefault="00730155" w:rsidP="00F37DEE">
      <w:pPr>
        <w:jc w:val="both"/>
      </w:pPr>
      <w:r w:rsidRPr="001111BA">
        <w:t xml:space="preserve">Az év legnagyobb új feladata a </w:t>
      </w:r>
      <w:r w:rsidRPr="001111BA">
        <w:rPr>
          <w:b/>
        </w:rPr>
        <w:t>CLP szerinti besorolások</w:t>
      </w:r>
      <w:r w:rsidRPr="001111BA">
        <w:t xml:space="preserve"> elvégzése volt. </w:t>
      </w:r>
      <w:r w:rsidRPr="001111BA">
        <w:rPr>
          <w:b/>
        </w:rPr>
        <w:t>Ezúton is köszönjük ügyfeleinknek konstruktív együttműködésüket e munkában</w:t>
      </w:r>
      <w:r w:rsidR="00B44723" w:rsidRPr="001111BA">
        <w:t xml:space="preserve">, amely megoszlott a kérelmező és a hatóság között. Az okiratok CLP szerinti módosítása folyamatosan zajlik. </w:t>
      </w:r>
    </w:p>
    <w:p w:rsidR="00730155" w:rsidRPr="001111BA" w:rsidRDefault="00B44723" w:rsidP="00F37DEE">
      <w:pPr>
        <w:jc w:val="both"/>
      </w:pPr>
      <w:r w:rsidRPr="001111BA">
        <w:t xml:space="preserve">Jelentős újdonságnak számít az uniós engedélyezési rendszerben a </w:t>
      </w:r>
      <w:r w:rsidRPr="001111BA">
        <w:rPr>
          <w:b/>
        </w:rPr>
        <w:t>PPP AMS szoftver</w:t>
      </w:r>
      <w:r w:rsidRPr="001111BA">
        <w:t xml:space="preserve"> rendszeresítése, amelybe a 2016-tól az újonnan beadott zonális kérelmeket be kell vinni. </w:t>
      </w:r>
    </w:p>
    <w:p w:rsidR="00730155" w:rsidRPr="001111BA" w:rsidRDefault="00FB7C6C" w:rsidP="00F37DEE">
      <w:pPr>
        <w:jc w:val="both"/>
      </w:pPr>
      <w:r w:rsidRPr="001111BA">
        <w:t>Végül örömmel tájékoztatjuk Önöket, hogy az ökológiai termesztésben használható termékekkel foglalkozó, az érintett szakmai és minősítő szervezeteket is magába foglaló munkabizottság (Öko-munkabizottság) javaslatára döntés született a növényvédő szerként</w:t>
      </w:r>
      <w:r w:rsidR="00990AF5">
        <w:t>,</w:t>
      </w:r>
      <w:r w:rsidRPr="001111BA">
        <w:t xml:space="preserve"> ill. termésnövelő anyagként öko-termesztésben felhasználható engedélyköteles termékek hivatalos listájáról, mely a NÉBIH honlapján megtalálható. </w:t>
      </w:r>
    </w:p>
    <w:p w:rsidR="009D5CA0" w:rsidRPr="001111BA" w:rsidRDefault="009D5CA0" w:rsidP="00F2165E">
      <w:pPr>
        <w:jc w:val="right"/>
        <w:rPr>
          <w:b/>
        </w:rPr>
      </w:pPr>
      <w:r w:rsidRPr="001111BA">
        <w:rPr>
          <w:b/>
        </w:rPr>
        <w:t xml:space="preserve">Tőkés Gábor </w:t>
      </w:r>
    </w:p>
    <w:p w:rsidR="00B67E7F" w:rsidRPr="001111BA" w:rsidRDefault="00B67E7F" w:rsidP="009D5CA0">
      <w:pPr>
        <w:rPr>
          <w:highlight w:val="yellow"/>
        </w:rPr>
      </w:pPr>
    </w:p>
    <w:p w:rsidR="00B67E7F" w:rsidRPr="001111BA" w:rsidRDefault="00B67E7F" w:rsidP="00B67E7F">
      <w:pPr>
        <w:rPr>
          <w:highlight w:val="yellow"/>
        </w:rPr>
      </w:pPr>
    </w:p>
    <w:p w:rsidR="00F37DEE" w:rsidRPr="001111BA" w:rsidRDefault="00F37DEE" w:rsidP="00B67E7F">
      <w:pPr>
        <w:rPr>
          <w:highlight w:val="yellow"/>
        </w:rPr>
      </w:pPr>
    </w:p>
    <w:p w:rsidR="00F37DEE" w:rsidRPr="001111BA" w:rsidRDefault="00F37DEE" w:rsidP="00B67E7F">
      <w:pPr>
        <w:rPr>
          <w:highlight w:val="yellow"/>
        </w:rPr>
      </w:pPr>
    </w:p>
    <w:p w:rsidR="00B67E7F" w:rsidRPr="001111BA" w:rsidRDefault="00B67E7F" w:rsidP="00B67E7F">
      <w:pPr>
        <w:rPr>
          <w:b/>
        </w:rPr>
      </w:pPr>
      <w:r w:rsidRPr="001111BA">
        <w:rPr>
          <w:b/>
        </w:rPr>
        <w:t xml:space="preserve">Tartalom </w:t>
      </w:r>
    </w:p>
    <w:p w:rsidR="00B67E7F" w:rsidRPr="001111BA" w:rsidRDefault="00B67E7F" w:rsidP="00B67E7F"/>
    <w:p w:rsidR="00565F8E" w:rsidRPr="001111BA" w:rsidRDefault="00565F8E" w:rsidP="00B67E7F">
      <w:pPr>
        <w:jc w:val="both"/>
      </w:pPr>
    </w:p>
    <w:p w:rsidR="00B67E7F" w:rsidRPr="001111BA" w:rsidRDefault="00B67E7F" w:rsidP="00B67E7F">
      <w:pPr>
        <w:jc w:val="both"/>
        <w:rPr>
          <w:u w:val="single"/>
        </w:rPr>
      </w:pPr>
      <w:r w:rsidRPr="001111BA">
        <w:t xml:space="preserve">I. </w:t>
      </w:r>
      <w:r w:rsidRPr="001111BA">
        <w:rPr>
          <w:u w:val="single"/>
        </w:rPr>
        <w:t>Az NTAI engedélyezési szakterületének munkatársai</w:t>
      </w:r>
    </w:p>
    <w:p w:rsidR="00B67E7F" w:rsidRPr="001111BA" w:rsidRDefault="00B67E7F" w:rsidP="00B67E7F">
      <w:pPr>
        <w:numPr>
          <w:ilvl w:val="0"/>
          <w:numId w:val="8"/>
        </w:numPr>
        <w:jc w:val="both"/>
        <w:rPr>
          <w:i/>
        </w:rPr>
      </w:pPr>
      <w:r w:rsidRPr="001111BA">
        <w:rPr>
          <w:i/>
        </w:rPr>
        <w:t>Növényvédő Szer és Termésnövelő Anyag</w:t>
      </w:r>
      <w:r w:rsidRPr="001111BA">
        <w:rPr>
          <w:bCs/>
          <w:i/>
        </w:rPr>
        <w:t xml:space="preserve"> Engedélyezési Osztály</w:t>
      </w:r>
      <w:r w:rsidRPr="001111BA">
        <w:rPr>
          <w:i/>
        </w:rPr>
        <w:t xml:space="preserve"> </w:t>
      </w:r>
    </w:p>
    <w:p w:rsidR="00B67E7F" w:rsidRPr="001111BA" w:rsidRDefault="00B67E7F" w:rsidP="00B67E7F">
      <w:pPr>
        <w:numPr>
          <w:ilvl w:val="0"/>
          <w:numId w:val="8"/>
        </w:numPr>
        <w:jc w:val="both"/>
        <w:rPr>
          <w:i/>
        </w:rPr>
      </w:pPr>
      <w:r w:rsidRPr="001111BA">
        <w:rPr>
          <w:i/>
        </w:rPr>
        <w:t>Növényvédő Szer és Termésnövelő Anyag</w:t>
      </w:r>
      <w:r w:rsidRPr="001111BA">
        <w:rPr>
          <w:bCs/>
          <w:i/>
        </w:rPr>
        <w:t xml:space="preserve"> Értékelési Osztály</w:t>
      </w:r>
    </w:p>
    <w:p w:rsidR="00B67E7F" w:rsidRPr="001111BA" w:rsidRDefault="00B67E7F" w:rsidP="00B67E7F">
      <w:pPr>
        <w:numPr>
          <w:ilvl w:val="0"/>
          <w:numId w:val="8"/>
        </w:numPr>
        <w:jc w:val="both"/>
      </w:pPr>
      <w:r w:rsidRPr="001111BA">
        <w:rPr>
          <w:i/>
        </w:rPr>
        <w:t>Növényvédelmi Technológia Fejlesztési és Koordinációs Osztály</w:t>
      </w:r>
    </w:p>
    <w:p w:rsidR="00565F8E" w:rsidRPr="001111BA" w:rsidRDefault="00565F8E" w:rsidP="00B67E7F">
      <w:pPr>
        <w:rPr>
          <w:u w:val="single"/>
        </w:rPr>
      </w:pPr>
    </w:p>
    <w:p w:rsidR="00B67E7F" w:rsidRPr="001111BA" w:rsidRDefault="00B67E7F" w:rsidP="00B67E7F">
      <w:r w:rsidRPr="001111BA">
        <w:rPr>
          <w:u w:val="single"/>
        </w:rPr>
        <w:t>II. Az engedélyezési szakterület jogszabályi és egyéb aktuális információi</w:t>
      </w:r>
    </w:p>
    <w:p w:rsidR="00B67E7F" w:rsidRPr="001111BA" w:rsidRDefault="00E31E34" w:rsidP="00B67E7F">
      <w:pPr>
        <w:pStyle w:val="Listaszerbekezds"/>
        <w:numPr>
          <w:ilvl w:val="0"/>
          <w:numId w:val="12"/>
        </w:numPr>
        <w:spacing w:after="0" w:line="240" w:lineRule="auto"/>
        <w:contextualSpacing w:val="0"/>
        <w:rPr>
          <w:rFonts w:ascii="Times New Roman" w:hAnsi="Times New Roman"/>
          <w:sz w:val="24"/>
          <w:szCs w:val="24"/>
        </w:rPr>
      </w:pPr>
      <w:r w:rsidRPr="001111BA">
        <w:rPr>
          <w:rFonts w:ascii="Times New Roman" w:hAnsi="Times New Roman"/>
          <w:sz w:val="24"/>
          <w:szCs w:val="24"/>
        </w:rPr>
        <w:t xml:space="preserve">Tájékoztató a </w:t>
      </w:r>
      <w:r w:rsidR="00990AF5" w:rsidRPr="001111BA">
        <w:rPr>
          <w:rFonts w:ascii="Times New Roman" w:hAnsi="Times New Roman"/>
          <w:sz w:val="24"/>
          <w:szCs w:val="24"/>
        </w:rPr>
        <w:t>készítmény</w:t>
      </w:r>
      <w:r w:rsidR="00990AF5">
        <w:rPr>
          <w:rFonts w:ascii="Times New Roman" w:hAnsi="Times New Roman"/>
          <w:sz w:val="24"/>
          <w:szCs w:val="24"/>
        </w:rPr>
        <w:t>ek</w:t>
      </w:r>
      <w:r w:rsidR="00990AF5" w:rsidRPr="001111BA">
        <w:rPr>
          <w:rFonts w:ascii="Times New Roman" w:hAnsi="Times New Roman"/>
          <w:sz w:val="24"/>
          <w:szCs w:val="24"/>
        </w:rPr>
        <w:t xml:space="preserve"> </w:t>
      </w:r>
      <w:r w:rsidRPr="001111BA">
        <w:rPr>
          <w:rFonts w:ascii="Times New Roman" w:hAnsi="Times New Roman"/>
          <w:sz w:val="24"/>
          <w:szCs w:val="24"/>
        </w:rPr>
        <w:t>zonális rendszer szerinti megújítás</w:t>
      </w:r>
      <w:r w:rsidR="00990AF5">
        <w:rPr>
          <w:rFonts w:ascii="Times New Roman" w:hAnsi="Times New Roman"/>
          <w:sz w:val="24"/>
          <w:szCs w:val="24"/>
        </w:rPr>
        <w:t>á</w:t>
      </w:r>
      <w:r w:rsidRPr="001111BA">
        <w:rPr>
          <w:rFonts w:ascii="Times New Roman" w:hAnsi="Times New Roman"/>
          <w:sz w:val="24"/>
          <w:szCs w:val="24"/>
        </w:rPr>
        <w:t xml:space="preserve">ról (43. cikk) </w:t>
      </w:r>
    </w:p>
    <w:p w:rsidR="00B67E7F" w:rsidRPr="001111BA" w:rsidRDefault="00B67E7F" w:rsidP="00B67E7F">
      <w:pPr>
        <w:pStyle w:val="Listaszerbekezds"/>
        <w:numPr>
          <w:ilvl w:val="0"/>
          <w:numId w:val="12"/>
        </w:numPr>
        <w:spacing w:after="0" w:line="240" w:lineRule="auto"/>
        <w:contextualSpacing w:val="0"/>
        <w:rPr>
          <w:rFonts w:ascii="Times New Roman" w:hAnsi="Times New Roman"/>
          <w:sz w:val="24"/>
          <w:szCs w:val="24"/>
        </w:rPr>
      </w:pPr>
      <w:r w:rsidRPr="001111BA">
        <w:rPr>
          <w:rFonts w:ascii="Times New Roman" w:hAnsi="Times New Roman"/>
          <w:sz w:val="24"/>
          <w:szCs w:val="24"/>
        </w:rPr>
        <w:t xml:space="preserve">Helyettesítendő anyagok és </w:t>
      </w:r>
      <w:r w:rsidR="00EE7D24" w:rsidRPr="001111BA">
        <w:rPr>
          <w:rFonts w:ascii="Times New Roman" w:hAnsi="Times New Roman"/>
          <w:sz w:val="24"/>
          <w:szCs w:val="24"/>
        </w:rPr>
        <w:t>ö</w:t>
      </w:r>
      <w:r w:rsidRPr="001111BA">
        <w:rPr>
          <w:rFonts w:ascii="Times New Roman" w:hAnsi="Times New Roman"/>
          <w:sz w:val="24"/>
          <w:szCs w:val="24"/>
        </w:rPr>
        <w:t xml:space="preserve">sszehasonlító értékelés </w:t>
      </w:r>
    </w:p>
    <w:p w:rsidR="00B67E7F" w:rsidRPr="001111BA" w:rsidRDefault="00B67E7F" w:rsidP="00B67E7F">
      <w:pPr>
        <w:pStyle w:val="Listaszerbekezds"/>
        <w:numPr>
          <w:ilvl w:val="0"/>
          <w:numId w:val="12"/>
        </w:numPr>
        <w:spacing w:after="0" w:line="240" w:lineRule="auto"/>
        <w:contextualSpacing w:val="0"/>
        <w:rPr>
          <w:rFonts w:ascii="Times New Roman" w:hAnsi="Times New Roman"/>
          <w:sz w:val="24"/>
          <w:szCs w:val="24"/>
        </w:rPr>
      </w:pPr>
      <w:r w:rsidRPr="001111BA">
        <w:rPr>
          <w:rFonts w:ascii="Times New Roman" w:hAnsi="Times New Roman"/>
          <w:sz w:val="24"/>
          <w:szCs w:val="24"/>
        </w:rPr>
        <w:t xml:space="preserve">Engedélyezés a </w:t>
      </w:r>
      <w:r w:rsidR="00DA6CB9" w:rsidRPr="001111BA">
        <w:rPr>
          <w:rFonts w:ascii="Times New Roman" w:hAnsi="Times New Roman"/>
          <w:bCs/>
          <w:i/>
        </w:rPr>
        <w:t>1107/2009/EK r</w:t>
      </w:r>
      <w:r w:rsidRPr="001111BA">
        <w:rPr>
          <w:rFonts w:ascii="Times New Roman" w:hAnsi="Times New Roman"/>
          <w:i/>
          <w:sz w:val="24"/>
          <w:szCs w:val="24"/>
        </w:rPr>
        <w:t>endelet</w:t>
      </w:r>
      <w:r w:rsidRPr="001111BA">
        <w:rPr>
          <w:rFonts w:ascii="Times New Roman" w:hAnsi="Times New Roman"/>
          <w:sz w:val="24"/>
          <w:szCs w:val="24"/>
        </w:rPr>
        <w:t xml:space="preserve"> 34. cikkére hivatkozva </w:t>
      </w:r>
    </w:p>
    <w:p w:rsidR="00AA32A4" w:rsidRPr="001111BA" w:rsidRDefault="00AA32A4" w:rsidP="00B67E7F">
      <w:pPr>
        <w:pStyle w:val="Listaszerbekezds"/>
        <w:numPr>
          <w:ilvl w:val="0"/>
          <w:numId w:val="12"/>
        </w:numPr>
        <w:spacing w:after="0" w:line="240" w:lineRule="auto"/>
        <w:contextualSpacing w:val="0"/>
        <w:rPr>
          <w:rFonts w:ascii="Times New Roman" w:hAnsi="Times New Roman"/>
          <w:sz w:val="24"/>
          <w:szCs w:val="24"/>
        </w:rPr>
      </w:pPr>
      <w:r w:rsidRPr="001111BA">
        <w:rPr>
          <w:rFonts w:ascii="Times New Roman" w:hAnsi="Times New Roman"/>
          <w:sz w:val="24"/>
          <w:szCs w:val="24"/>
        </w:rPr>
        <w:t>Párhuzamos import, származtatott engedély</w:t>
      </w:r>
    </w:p>
    <w:p w:rsidR="00B67E7F" w:rsidRPr="001111BA" w:rsidRDefault="007F06EF" w:rsidP="00B67E7F">
      <w:pPr>
        <w:pStyle w:val="Listaszerbekezds"/>
        <w:numPr>
          <w:ilvl w:val="0"/>
          <w:numId w:val="12"/>
        </w:numPr>
        <w:spacing w:after="0" w:line="240" w:lineRule="auto"/>
        <w:contextualSpacing w:val="0"/>
        <w:rPr>
          <w:rFonts w:ascii="Times New Roman" w:hAnsi="Times New Roman"/>
          <w:sz w:val="24"/>
          <w:szCs w:val="24"/>
        </w:rPr>
      </w:pPr>
      <w:r w:rsidRPr="001111BA">
        <w:rPr>
          <w:rFonts w:ascii="Times New Roman" w:hAnsi="Times New Roman"/>
          <w:sz w:val="24"/>
          <w:szCs w:val="24"/>
        </w:rPr>
        <w:t>Készítmény</w:t>
      </w:r>
      <w:r w:rsidR="00F2165E" w:rsidRPr="001111BA">
        <w:rPr>
          <w:rFonts w:ascii="Times New Roman" w:hAnsi="Times New Roman"/>
          <w:sz w:val="24"/>
          <w:szCs w:val="24"/>
        </w:rPr>
        <w:t xml:space="preserve">ek </w:t>
      </w:r>
      <w:r w:rsidRPr="001111BA">
        <w:rPr>
          <w:rFonts w:ascii="Times New Roman" w:hAnsi="Times New Roman"/>
          <w:sz w:val="24"/>
          <w:szCs w:val="24"/>
        </w:rPr>
        <w:t>eltarthatósága</w:t>
      </w:r>
    </w:p>
    <w:p w:rsidR="005F5AD9" w:rsidRPr="001111BA" w:rsidRDefault="00CB3418" w:rsidP="00B67E7F">
      <w:pPr>
        <w:pStyle w:val="Listaszerbekezds"/>
        <w:numPr>
          <w:ilvl w:val="0"/>
          <w:numId w:val="12"/>
        </w:numPr>
        <w:spacing w:after="0" w:line="240" w:lineRule="auto"/>
        <w:contextualSpacing w:val="0"/>
        <w:rPr>
          <w:rFonts w:ascii="Times New Roman" w:hAnsi="Times New Roman"/>
          <w:sz w:val="24"/>
          <w:szCs w:val="24"/>
        </w:rPr>
      </w:pPr>
      <w:r>
        <w:rPr>
          <w:rFonts w:ascii="Times New Roman" w:hAnsi="Times New Roman"/>
          <w:sz w:val="24"/>
          <w:szCs w:val="24"/>
        </w:rPr>
        <w:t>Kereskedelmi g</w:t>
      </w:r>
      <w:r w:rsidR="005F5AD9" w:rsidRPr="001111BA">
        <w:rPr>
          <w:rFonts w:ascii="Times New Roman" w:hAnsi="Times New Roman"/>
          <w:sz w:val="24"/>
          <w:szCs w:val="24"/>
        </w:rPr>
        <w:t>yüjtőcsomag</w:t>
      </w:r>
      <w:r w:rsidR="00990AF5">
        <w:rPr>
          <w:rFonts w:ascii="Times New Roman" w:hAnsi="Times New Roman"/>
          <w:sz w:val="24"/>
          <w:szCs w:val="24"/>
        </w:rPr>
        <w:t>-</w:t>
      </w:r>
      <w:r w:rsidR="005F5AD9" w:rsidRPr="001111BA">
        <w:rPr>
          <w:rFonts w:ascii="Times New Roman" w:hAnsi="Times New Roman"/>
          <w:sz w:val="24"/>
          <w:szCs w:val="24"/>
        </w:rPr>
        <w:t>hozzájárulások</w:t>
      </w:r>
    </w:p>
    <w:p w:rsidR="00B67E7F" w:rsidRPr="001111BA" w:rsidRDefault="00B67E7F" w:rsidP="00B67E7F">
      <w:pPr>
        <w:pStyle w:val="Listaszerbekezds"/>
        <w:numPr>
          <w:ilvl w:val="0"/>
          <w:numId w:val="12"/>
        </w:numPr>
        <w:spacing w:after="0" w:line="240" w:lineRule="auto"/>
        <w:contextualSpacing w:val="0"/>
        <w:rPr>
          <w:rFonts w:ascii="Times New Roman" w:hAnsi="Times New Roman"/>
          <w:sz w:val="24"/>
          <w:szCs w:val="24"/>
        </w:rPr>
      </w:pPr>
      <w:r w:rsidRPr="001111BA">
        <w:rPr>
          <w:rFonts w:ascii="Times New Roman" w:hAnsi="Times New Roman"/>
          <w:sz w:val="24"/>
          <w:szCs w:val="24"/>
        </w:rPr>
        <w:t xml:space="preserve">Engedélyezett készítmények CLP rendelet szerinti besorolása </w:t>
      </w:r>
    </w:p>
    <w:p w:rsidR="00B67E7F" w:rsidRPr="001111BA" w:rsidRDefault="00990AF5" w:rsidP="00B67E7F">
      <w:pPr>
        <w:pStyle w:val="Listaszerbekezds"/>
        <w:numPr>
          <w:ilvl w:val="0"/>
          <w:numId w:val="12"/>
        </w:numPr>
        <w:spacing w:after="0" w:line="240" w:lineRule="auto"/>
        <w:contextualSpacing w:val="0"/>
        <w:rPr>
          <w:rFonts w:ascii="Times New Roman" w:hAnsi="Times New Roman"/>
          <w:sz w:val="24"/>
          <w:szCs w:val="24"/>
        </w:rPr>
      </w:pPr>
      <w:r>
        <w:rPr>
          <w:rFonts w:ascii="Times New Roman" w:hAnsi="Times New Roman"/>
          <w:sz w:val="24"/>
          <w:szCs w:val="24"/>
        </w:rPr>
        <w:t>Az e</w:t>
      </w:r>
      <w:r w:rsidR="00D73715" w:rsidRPr="001111BA">
        <w:rPr>
          <w:rFonts w:ascii="Times New Roman" w:hAnsi="Times New Roman"/>
          <w:sz w:val="24"/>
          <w:szCs w:val="24"/>
        </w:rPr>
        <w:t>gysz</w:t>
      </w:r>
      <w:r w:rsidR="00B972D5" w:rsidRPr="001111BA">
        <w:rPr>
          <w:rFonts w:ascii="Times New Roman" w:hAnsi="Times New Roman"/>
          <w:sz w:val="24"/>
          <w:szCs w:val="24"/>
        </w:rPr>
        <w:t>erű anyagok</w:t>
      </w:r>
      <w:r>
        <w:rPr>
          <w:rFonts w:ascii="Times New Roman" w:hAnsi="Times New Roman"/>
          <w:sz w:val="24"/>
          <w:szCs w:val="24"/>
        </w:rPr>
        <w:t>ról</w:t>
      </w:r>
      <w:r w:rsidR="00B972D5" w:rsidRPr="001111BA">
        <w:rPr>
          <w:rFonts w:ascii="Times New Roman" w:hAnsi="Times New Roman"/>
          <w:sz w:val="24"/>
          <w:szCs w:val="24"/>
        </w:rPr>
        <w:t xml:space="preserve"> </w:t>
      </w:r>
    </w:p>
    <w:p w:rsidR="00F2165E" w:rsidRPr="001111BA" w:rsidRDefault="00F2165E" w:rsidP="00B67E7F">
      <w:pPr>
        <w:pStyle w:val="Listaszerbekezds"/>
        <w:numPr>
          <w:ilvl w:val="0"/>
          <w:numId w:val="12"/>
        </w:numPr>
        <w:spacing w:after="0" w:line="240" w:lineRule="auto"/>
        <w:contextualSpacing w:val="0"/>
        <w:rPr>
          <w:rFonts w:ascii="Times New Roman" w:hAnsi="Times New Roman"/>
          <w:sz w:val="24"/>
          <w:szCs w:val="24"/>
        </w:rPr>
      </w:pPr>
      <w:r w:rsidRPr="001111BA">
        <w:rPr>
          <w:rFonts w:ascii="Times New Roman" w:hAnsi="Times New Roman"/>
          <w:sz w:val="24"/>
          <w:szCs w:val="24"/>
        </w:rPr>
        <w:t>Déli zónából származó szermaradék vizsgálatok</w:t>
      </w:r>
      <w:r w:rsidRPr="001111BA">
        <w:rPr>
          <w:rFonts w:ascii="Times New Roman" w:hAnsi="Times New Roman"/>
          <w:b/>
          <w:sz w:val="24"/>
          <w:szCs w:val="24"/>
        </w:rPr>
        <w:t xml:space="preserve"> </w:t>
      </w:r>
      <w:r w:rsidRPr="001111BA">
        <w:rPr>
          <w:rFonts w:ascii="Times New Roman" w:hAnsi="Times New Roman"/>
          <w:sz w:val="24"/>
          <w:szCs w:val="24"/>
        </w:rPr>
        <w:t xml:space="preserve">elfogadhatósága </w:t>
      </w:r>
    </w:p>
    <w:p w:rsidR="00D91192" w:rsidRPr="001111BA" w:rsidRDefault="00B67E7F" w:rsidP="00B67E7F">
      <w:pPr>
        <w:pStyle w:val="Listaszerbekezds"/>
        <w:numPr>
          <w:ilvl w:val="0"/>
          <w:numId w:val="12"/>
        </w:numPr>
        <w:spacing w:after="0" w:line="240" w:lineRule="auto"/>
        <w:contextualSpacing w:val="0"/>
        <w:rPr>
          <w:rFonts w:ascii="Times New Roman" w:hAnsi="Times New Roman"/>
          <w:sz w:val="24"/>
          <w:szCs w:val="24"/>
        </w:rPr>
      </w:pPr>
      <w:r w:rsidRPr="001111BA">
        <w:rPr>
          <w:rFonts w:ascii="Times New Roman" w:hAnsi="Times New Roman"/>
          <w:sz w:val="24"/>
          <w:szCs w:val="24"/>
        </w:rPr>
        <w:t>A szükséghelyzeti kérelm</w:t>
      </w:r>
      <w:r w:rsidR="00990AF5">
        <w:rPr>
          <w:rFonts w:ascii="Times New Roman" w:hAnsi="Times New Roman"/>
          <w:sz w:val="24"/>
          <w:szCs w:val="24"/>
        </w:rPr>
        <w:t>ek</w:t>
      </w:r>
      <w:r w:rsidRPr="001111BA">
        <w:rPr>
          <w:rFonts w:ascii="Times New Roman" w:hAnsi="Times New Roman"/>
          <w:sz w:val="24"/>
          <w:szCs w:val="24"/>
        </w:rPr>
        <w:t xml:space="preserve"> </w:t>
      </w:r>
    </w:p>
    <w:p w:rsidR="00B67E7F" w:rsidRPr="001111BA" w:rsidRDefault="00D91192" w:rsidP="00B67E7F">
      <w:pPr>
        <w:pStyle w:val="Listaszerbekezds"/>
        <w:numPr>
          <w:ilvl w:val="0"/>
          <w:numId w:val="12"/>
        </w:numPr>
        <w:spacing w:after="0" w:line="240" w:lineRule="auto"/>
        <w:contextualSpacing w:val="0"/>
        <w:rPr>
          <w:rFonts w:ascii="Times New Roman" w:hAnsi="Times New Roman"/>
          <w:sz w:val="24"/>
          <w:szCs w:val="24"/>
        </w:rPr>
      </w:pPr>
      <w:r w:rsidRPr="001111BA">
        <w:rPr>
          <w:rFonts w:ascii="Times New Roman" w:hAnsi="Times New Roman"/>
          <w:sz w:val="24"/>
          <w:szCs w:val="24"/>
        </w:rPr>
        <w:t>Európai Uniós adatbázis a zonális rendszerben történő engedélyezésre és szükséghelyzeti engedélyek kiadására vonatkozóan szoftver</w:t>
      </w:r>
      <w:r w:rsidRPr="001111BA">
        <w:rPr>
          <w:rFonts w:ascii="Times New Roman" w:hAnsi="Times New Roman"/>
          <w:color w:val="1F497D"/>
          <w:sz w:val="24"/>
          <w:szCs w:val="24"/>
        </w:rPr>
        <w:t xml:space="preserve"> </w:t>
      </w:r>
    </w:p>
    <w:p w:rsidR="008B637D" w:rsidRPr="001111BA" w:rsidRDefault="008B637D" w:rsidP="0039031A">
      <w:pPr>
        <w:pStyle w:val="Listaszerbekezds"/>
        <w:numPr>
          <w:ilvl w:val="0"/>
          <w:numId w:val="12"/>
        </w:numPr>
        <w:spacing w:after="0" w:line="240" w:lineRule="auto"/>
        <w:contextualSpacing w:val="0"/>
        <w:rPr>
          <w:rFonts w:ascii="Times New Roman" w:hAnsi="Times New Roman"/>
          <w:sz w:val="24"/>
          <w:szCs w:val="24"/>
        </w:rPr>
      </w:pPr>
      <w:r w:rsidRPr="001111BA">
        <w:rPr>
          <w:rFonts w:ascii="Times New Roman" w:hAnsi="Times New Roman"/>
          <w:sz w:val="24"/>
          <w:szCs w:val="24"/>
        </w:rPr>
        <w:t xml:space="preserve">Az Öko-munkabizottságról </w:t>
      </w:r>
    </w:p>
    <w:p w:rsidR="008B637D" w:rsidRPr="001111BA" w:rsidRDefault="008B637D" w:rsidP="0039031A">
      <w:pPr>
        <w:pStyle w:val="Listaszerbekezds"/>
        <w:numPr>
          <w:ilvl w:val="0"/>
          <w:numId w:val="12"/>
        </w:numPr>
        <w:spacing w:after="0" w:line="240" w:lineRule="auto"/>
        <w:contextualSpacing w:val="0"/>
        <w:rPr>
          <w:rFonts w:ascii="Times New Roman" w:hAnsi="Times New Roman"/>
          <w:sz w:val="24"/>
          <w:szCs w:val="24"/>
        </w:rPr>
      </w:pPr>
      <w:r w:rsidRPr="001111BA">
        <w:rPr>
          <w:rFonts w:ascii="Times New Roman" w:hAnsi="Times New Roman"/>
          <w:sz w:val="24"/>
          <w:szCs w:val="24"/>
        </w:rPr>
        <w:t xml:space="preserve">Módszertani gyűjtemény </w:t>
      </w:r>
    </w:p>
    <w:p w:rsidR="008B637D" w:rsidRPr="001111BA" w:rsidRDefault="008B637D" w:rsidP="0039031A">
      <w:pPr>
        <w:pStyle w:val="Listaszerbekezds"/>
        <w:numPr>
          <w:ilvl w:val="0"/>
          <w:numId w:val="12"/>
        </w:numPr>
        <w:spacing w:after="0" w:line="240" w:lineRule="auto"/>
        <w:contextualSpacing w:val="0"/>
        <w:rPr>
          <w:rFonts w:ascii="Times New Roman" w:hAnsi="Times New Roman"/>
          <w:sz w:val="24"/>
          <w:szCs w:val="24"/>
        </w:rPr>
      </w:pPr>
      <w:r w:rsidRPr="001111BA">
        <w:rPr>
          <w:rFonts w:ascii="Times New Roman" w:hAnsi="Times New Roman"/>
          <w:sz w:val="24"/>
          <w:szCs w:val="24"/>
        </w:rPr>
        <w:t>Elérhetőség, ügyfélfogadás</w:t>
      </w:r>
      <w:r w:rsidR="00990AF5">
        <w:rPr>
          <w:rFonts w:ascii="Times New Roman" w:hAnsi="Times New Roman"/>
          <w:sz w:val="24"/>
          <w:szCs w:val="24"/>
        </w:rPr>
        <w:t>, kérelmek</w:t>
      </w:r>
      <w:r w:rsidRPr="001111BA">
        <w:rPr>
          <w:rFonts w:ascii="Times New Roman" w:hAnsi="Times New Roman"/>
          <w:sz w:val="24"/>
          <w:szCs w:val="24"/>
        </w:rPr>
        <w:t xml:space="preserve"> </w:t>
      </w:r>
    </w:p>
    <w:p w:rsidR="008B637D" w:rsidRPr="001111BA" w:rsidRDefault="008B637D" w:rsidP="0039031A">
      <w:pPr>
        <w:pStyle w:val="Listaszerbekezds"/>
        <w:numPr>
          <w:ilvl w:val="0"/>
          <w:numId w:val="12"/>
        </w:numPr>
        <w:spacing w:after="0" w:line="240" w:lineRule="auto"/>
        <w:contextualSpacing w:val="0"/>
        <w:rPr>
          <w:rFonts w:ascii="Times New Roman" w:hAnsi="Times New Roman"/>
          <w:sz w:val="24"/>
          <w:szCs w:val="24"/>
        </w:rPr>
      </w:pPr>
      <w:r w:rsidRPr="001111BA">
        <w:rPr>
          <w:rFonts w:ascii="Times New Roman" w:hAnsi="Times New Roman"/>
          <w:sz w:val="24"/>
          <w:szCs w:val="24"/>
        </w:rPr>
        <w:t>Tájékoztató kötelező adatszolgáltatásról a 2015. évi növényvédő szer forgalommal kapcsolatban</w:t>
      </w:r>
    </w:p>
    <w:p w:rsidR="00B67E7F" w:rsidRPr="001111BA" w:rsidRDefault="00B67E7F" w:rsidP="00B67E7F">
      <w:pPr>
        <w:pStyle w:val="Listaszerbekezds"/>
        <w:spacing w:after="0" w:line="240" w:lineRule="auto"/>
        <w:contextualSpacing w:val="0"/>
        <w:rPr>
          <w:rFonts w:ascii="Times New Roman" w:hAnsi="Times New Roman"/>
          <w:sz w:val="24"/>
          <w:szCs w:val="24"/>
        </w:rPr>
      </w:pPr>
    </w:p>
    <w:p w:rsidR="008D085F" w:rsidRPr="001111BA" w:rsidRDefault="008D085F" w:rsidP="001A66DE">
      <w:pPr>
        <w:rPr>
          <w:highlight w:val="yellow"/>
        </w:rPr>
      </w:pPr>
    </w:p>
    <w:p w:rsidR="0077192F" w:rsidRPr="001111BA" w:rsidRDefault="0077192F">
      <w:r w:rsidRPr="001111BA">
        <w:br w:type="page"/>
      </w:r>
    </w:p>
    <w:p w:rsidR="00EC3D88" w:rsidRPr="001111BA" w:rsidRDefault="00EC3D88" w:rsidP="001A66DE">
      <w:pPr>
        <w:autoSpaceDE w:val="0"/>
        <w:autoSpaceDN w:val="0"/>
        <w:adjustRightInd w:val="0"/>
        <w:jc w:val="both"/>
        <w:rPr>
          <w:highlight w:val="yellow"/>
        </w:rPr>
      </w:pPr>
    </w:p>
    <w:p w:rsidR="001A0DF1" w:rsidRPr="001111BA" w:rsidRDefault="001A0DF1" w:rsidP="001A0DF1">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1A0DF1" w:rsidRPr="001111BA" w:rsidTr="00910148">
        <w:tc>
          <w:tcPr>
            <w:tcW w:w="9212" w:type="dxa"/>
            <w:shd w:val="clear" w:color="auto" w:fill="C2D69B"/>
          </w:tcPr>
          <w:p w:rsidR="001A0DF1" w:rsidRPr="001111BA" w:rsidRDefault="002E6A0D" w:rsidP="000E174E">
            <w:pPr>
              <w:numPr>
                <w:ilvl w:val="0"/>
                <w:numId w:val="4"/>
              </w:numPr>
              <w:jc w:val="center"/>
              <w:rPr>
                <w:b/>
                <w:i/>
                <w:u w:val="single"/>
              </w:rPr>
            </w:pPr>
            <w:r w:rsidRPr="001111BA">
              <w:rPr>
                <w:b/>
                <w:sz w:val="28"/>
                <w:szCs w:val="28"/>
                <w:u w:val="single"/>
              </w:rPr>
              <w:t>Az NTAI engedélyezési szakterület</w:t>
            </w:r>
            <w:r w:rsidR="00D377B9" w:rsidRPr="001111BA">
              <w:rPr>
                <w:b/>
                <w:sz w:val="28"/>
                <w:szCs w:val="28"/>
                <w:u w:val="single"/>
              </w:rPr>
              <w:t>ének munkatársai</w:t>
            </w:r>
          </w:p>
        </w:tc>
      </w:tr>
    </w:tbl>
    <w:p w:rsidR="008C57A3" w:rsidRPr="001111BA" w:rsidRDefault="008C57A3" w:rsidP="001A0DF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1A0DF1" w:rsidRPr="001111BA" w:rsidTr="00910148">
        <w:tc>
          <w:tcPr>
            <w:tcW w:w="9212" w:type="dxa"/>
            <w:shd w:val="clear" w:color="auto" w:fill="C2D69B"/>
          </w:tcPr>
          <w:p w:rsidR="001A0DF1" w:rsidRPr="001111BA" w:rsidRDefault="009F1518" w:rsidP="00082497">
            <w:pPr>
              <w:numPr>
                <w:ilvl w:val="0"/>
                <w:numId w:val="5"/>
              </w:numPr>
              <w:jc w:val="both"/>
              <w:rPr>
                <w:b/>
                <w:i/>
              </w:rPr>
            </w:pPr>
            <w:r w:rsidRPr="001111BA">
              <w:rPr>
                <w:b/>
              </w:rPr>
              <w:t>NÖVÉNYVÉDŐ SZER ÉS TERMÉSNÖVELŐ ANYAG</w:t>
            </w:r>
            <w:r w:rsidRPr="001111BA">
              <w:rPr>
                <w:b/>
                <w:bCs/>
              </w:rPr>
              <w:t xml:space="preserve"> ENGEDÉLYEZÉSI OSZTÁLY</w:t>
            </w:r>
            <w:r w:rsidR="00A169B7" w:rsidRPr="001111BA">
              <w:rPr>
                <w:b/>
                <w:bCs/>
              </w:rPr>
              <w:t xml:space="preserve"> </w:t>
            </w:r>
          </w:p>
        </w:tc>
      </w:tr>
    </w:tbl>
    <w:p w:rsidR="009E63A9" w:rsidRPr="001111BA" w:rsidRDefault="009E63A9" w:rsidP="00C277D6">
      <w:pPr>
        <w:jc w:val="both"/>
        <w:rPr>
          <w:i/>
        </w:rPr>
      </w:pPr>
    </w:p>
    <w:p w:rsidR="00177C36" w:rsidRPr="001111BA" w:rsidRDefault="00177C36" w:rsidP="00177C36"/>
    <w:p w:rsidR="00D66529" w:rsidRPr="001111BA" w:rsidRDefault="00D66529" w:rsidP="00D66529">
      <w:pPr>
        <w:jc w:val="both"/>
      </w:pPr>
      <w:r w:rsidRPr="001111BA">
        <w:rPr>
          <w:i/>
        </w:rPr>
        <w:t xml:space="preserve">Ácsné dr. Szekeres Dóra, </w:t>
      </w:r>
      <w:r w:rsidRPr="001111BA">
        <w:t>engedélyezési mérnökszakértő</w:t>
      </w:r>
    </w:p>
    <w:p w:rsidR="00D66529" w:rsidRPr="001111BA" w:rsidRDefault="00D66529" w:rsidP="00D66529">
      <w:pPr>
        <w:jc w:val="both"/>
      </w:pPr>
      <w:r w:rsidRPr="001111BA">
        <w:rPr>
          <w:u w:val="single"/>
        </w:rPr>
        <w:t>Feladatköre</w:t>
      </w:r>
      <w:r w:rsidRPr="001111BA">
        <w:t>: címkebírálatok elvégzése, lejárt szavatosságú szerek, szerhamisítási ügyek</w:t>
      </w:r>
    </w:p>
    <w:p w:rsidR="00D66529" w:rsidRPr="001111BA" w:rsidRDefault="00D66529" w:rsidP="00D66529">
      <w:pPr>
        <w:jc w:val="both"/>
      </w:pPr>
      <w:r w:rsidRPr="001111BA">
        <w:t xml:space="preserve">Elérhetősége: </w:t>
      </w:r>
      <w:hyperlink r:id="rId6" w:history="1">
        <w:r w:rsidRPr="001111BA">
          <w:rPr>
            <w:rStyle w:val="Hiperhivatkozs"/>
          </w:rPr>
          <w:t xml:space="preserve">AcsneD@nebih.gov.hu </w:t>
        </w:r>
      </w:hyperlink>
    </w:p>
    <w:p w:rsidR="00D66529" w:rsidRPr="001111BA" w:rsidRDefault="00D66529" w:rsidP="00177C36"/>
    <w:p w:rsidR="00177C36" w:rsidRPr="001111BA" w:rsidRDefault="00177C36" w:rsidP="00C277D6">
      <w:pPr>
        <w:jc w:val="both"/>
      </w:pPr>
      <w:r w:rsidRPr="001111BA">
        <w:rPr>
          <w:i/>
        </w:rPr>
        <w:t>Baranyi Tibor</w:t>
      </w:r>
      <w:r w:rsidRPr="001111BA">
        <w:t>, engedélyezési mérnökszakértő</w:t>
      </w:r>
    </w:p>
    <w:p w:rsidR="00177C36" w:rsidRPr="001111BA" w:rsidRDefault="00177C36" w:rsidP="00C277D6">
      <w:pPr>
        <w:jc w:val="both"/>
      </w:pPr>
      <w:r w:rsidRPr="001111BA">
        <w:rPr>
          <w:u w:val="single"/>
        </w:rPr>
        <w:t>Feladatköre</w:t>
      </w:r>
      <w:r w:rsidRPr="001111BA">
        <w:t xml:space="preserve">: kísérleti </w:t>
      </w:r>
      <w:r w:rsidR="004C391B" w:rsidRPr="001111BA">
        <w:t xml:space="preserve">és szükséghelyzeti </w:t>
      </w:r>
      <w:r w:rsidRPr="001111BA">
        <w:t>engedélyek megadása</w:t>
      </w:r>
      <w:r w:rsidR="008C02C9" w:rsidRPr="001111BA">
        <w:t>, valamint vetőmagok és szaporítóanyagok csávázásának szükséghelyzeti engedélyezése</w:t>
      </w:r>
    </w:p>
    <w:p w:rsidR="00177C36" w:rsidRPr="001111BA" w:rsidRDefault="00177C36" w:rsidP="00C277D6">
      <w:pPr>
        <w:jc w:val="both"/>
      </w:pPr>
      <w:r w:rsidRPr="001111BA">
        <w:t xml:space="preserve">Elérhetősége: </w:t>
      </w:r>
      <w:hyperlink r:id="rId7" w:history="1">
        <w:r w:rsidRPr="001111BA">
          <w:rPr>
            <w:rStyle w:val="Hiperhivatkozs"/>
          </w:rPr>
          <w:t>BaranyiT@nebih.gov.hu</w:t>
        </w:r>
      </w:hyperlink>
    </w:p>
    <w:p w:rsidR="00177C36" w:rsidRPr="001111BA" w:rsidRDefault="00177C36" w:rsidP="00C277D6">
      <w:pPr>
        <w:jc w:val="both"/>
        <w:rPr>
          <w:i/>
        </w:rPr>
      </w:pPr>
    </w:p>
    <w:p w:rsidR="00177C36" w:rsidRPr="001111BA" w:rsidRDefault="00177C36" w:rsidP="00C277D6">
      <w:pPr>
        <w:jc w:val="both"/>
      </w:pPr>
      <w:r w:rsidRPr="001111BA">
        <w:rPr>
          <w:i/>
        </w:rPr>
        <w:t>Dr. Bleicher Edit</w:t>
      </w:r>
      <w:r w:rsidRPr="001111BA">
        <w:t xml:space="preserve">, engedélyezési mérnökszakértő </w:t>
      </w:r>
    </w:p>
    <w:p w:rsidR="00177C36" w:rsidRPr="001111BA" w:rsidRDefault="00177C36" w:rsidP="00C277D6">
      <w:pPr>
        <w:jc w:val="both"/>
      </w:pPr>
      <w:r w:rsidRPr="001111BA">
        <w:rPr>
          <w:u w:val="single"/>
        </w:rPr>
        <w:t>Feladatköre</w:t>
      </w:r>
      <w:r w:rsidRPr="001111BA">
        <w:t>: rovarölő szer engedélyezés koordinálása, szerforgalmi adatok</w:t>
      </w:r>
    </w:p>
    <w:p w:rsidR="00177C36" w:rsidRPr="001111BA" w:rsidRDefault="00177C36" w:rsidP="00C277D6">
      <w:pPr>
        <w:jc w:val="both"/>
      </w:pPr>
      <w:r w:rsidRPr="001111BA">
        <w:t xml:space="preserve">Elérhetősége: </w:t>
      </w:r>
      <w:hyperlink r:id="rId8" w:history="1">
        <w:r w:rsidRPr="001111BA">
          <w:rPr>
            <w:rStyle w:val="Hiperhivatkozs"/>
          </w:rPr>
          <w:t>BleicherE@nebih.gov.hu</w:t>
        </w:r>
      </w:hyperlink>
    </w:p>
    <w:p w:rsidR="00177C36" w:rsidRPr="001111BA" w:rsidRDefault="00177C36" w:rsidP="00C277D6">
      <w:pPr>
        <w:jc w:val="both"/>
      </w:pPr>
    </w:p>
    <w:p w:rsidR="00177C36" w:rsidRPr="001111BA" w:rsidRDefault="00177C36" w:rsidP="00C277D6">
      <w:pPr>
        <w:jc w:val="both"/>
        <w:rPr>
          <w:i/>
        </w:rPr>
      </w:pPr>
      <w:r w:rsidRPr="001111BA">
        <w:rPr>
          <w:i/>
        </w:rPr>
        <w:t xml:space="preserve">Botosné Olasz Zsuzsa, </w:t>
      </w:r>
      <w:r w:rsidRPr="001111BA">
        <w:t>engedélyezési mérnökszakértő</w:t>
      </w:r>
    </w:p>
    <w:p w:rsidR="00177C36" w:rsidRPr="001111BA" w:rsidRDefault="00177C36" w:rsidP="00C277D6">
      <w:pPr>
        <w:jc w:val="both"/>
        <w:rPr>
          <w:i/>
        </w:rPr>
      </w:pPr>
      <w:r w:rsidRPr="001111BA">
        <w:rPr>
          <w:u w:val="single"/>
        </w:rPr>
        <w:t xml:space="preserve">Feladatköre: </w:t>
      </w:r>
      <w:r w:rsidRPr="001111BA">
        <w:t>term</w:t>
      </w:r>
      <w:r w:rsidR="007F3362" w:rsidRPr="001111BA">
        <w:t>ésnövelő anyagok engedélyezése</w:t>
      </w:r>
    </w:p>
    <w:p w:rsidR="00177C36" w:rsidRPr="001111BA" w:rsidRDefault="00177C36" w:rsidP="00C277D6">
      <w:pPr>
        <w:jc w:val="both"/>
      </w:pPr>
      <w:r w:rsidRPr="001111BA">
        <w:t xml:space="preserve">Elérhetősége: </w:t>
      </w:r>
      <w:hyperlink r:id="rId9" w:history="1">
        <w:r w:rsidRPr="001111BA">
          <w:rPr>
            <w:rStyle w:val="Hiperhivatkozs"/>
          </w:rPr>
          <w:t>BotosneZs@nebih.gov.hu</w:t>
        </w:r>
      </w:hyperlink>
    </w:p>
    <w:p w:rsidR="00177C36" w:rsidRPr="001111BA" w:rsidRDefault="00177C36" w:rsidP="00C277D6">
      <w:pPr>
        <w:jc w:val="both"/>
      </w:pPr>
    </w:p>
    <w:p w:rsidR="00E56210" w:rsidRPr="001111BA" w:rsidRDefault="00E56210" w:rsidP="00E56210">
      <w:pPr>
        <w:jc w:val="both"/>
        <w:rPr>
          <w:i/>
        </w:rPr>
      </w:pPr>
      <w:r w:rsidRPr="001111BA">
        <w:rPr>
          <w:i/>
        </w:rPr>
        <w:t xml:space="preserve">Böszörményi Ede, </w:t>
      </w:r>
      <w:r w:rsidRPr="001111BA">
        <w:t>engedélyezési szakértő</w:t>
      </w:r>
    </w:p>
    <w:p w:rsidR="00E56210" w:rsidRPr="001111BA" w:rsidRDefault="00E56210" w:rsidP="00E56210">
      <w:pPr>
        <w:jc w:val="both"/>
        <w:rPr>
          <w:i/>
        </w:rPr>
      </w:pPr>
      <w:r w:rsidRPr="001111BA">
        <w:rPr>
          <w:u w:val="single"/>
        </w:rPr>
        <w:t xml:space="preserve">Feladatköre: </w:t>
      </w:r>
      <w:r w:rsidRPr="001111BA">
        <w:t>okiratok angol nyelvű fordítása és hitelesítésének koordinálása</w:t>
      </w:r>
    </w:p>
    <w:p w:rsidR="00E56210" w:rsidRPr="001111BA" w:rsidRDefault="00E56210" w:rsidP="00E56210">
      <w:pPr>
        <w:jc w:val="both"/>
      </w:pPr>
      <w:r w:rsidRPr="001111BA">
        <w:t xml:space="preserve">Elérhetősége: </w:t>
      </w:r>
      <w:hyperlink r:id="rId10" w:history="1">
        <w:r w:rsidRPr="001111BA">
          <w:rPr>
            <w:rStyle w:val="Hiperhivatkozs"/>
          </w:rPr>
          <w:t>BoszormenyiE@nebih.gov.hu</w:t>
        </w:r>
      </w:hyperlink>
    </w:p>
    <w:p w:rsidR="00E56210" w:rsidRPr="001111BA" w:rsidRDefault="00E56210" w:rsidP="00C277D6">
      <w:pPr>
        <w:jc w:val="both"/>
      </w:pPr>
    </w:p>
    <w:p w:rsidR="00177C36" w:rsidRPr="001111BA" w:rsidRDefault="007F3362" w:rsidP="00C277D6">
      <w:pPr>
        <w:jc w:val="both"/>
      </w:pPr>
      <w:r w:rsidRPr="001111BA">
        <w:rPr>
          <w:i/>
        </w:rPr>
        <w:t>Kővári Melinda</w:t>
      </w:r>
      <w:r w:rsidR="00177C36" w:rsidRPr="001111BA">
        <w:rPr>
          <w:i/>
        </w:rPr>
        <w:t xml:space="preserve">, </w:t>
      </w:r>
      <w:r w:rsidR="006D206C" w:rsidRPr="001111BA">
        <w:t>engedélyezési mérnökszakértő</w:t>
      </w:r>
      <w:r w:rsidR="00177C36" w:rsidRPr="001111BA">
        <w:t xml:space="preserve"> </w:t>
      </w:r>
    </w:p>
    <w:p w:rsidR="00642F79" w:rsidRPr="001111BA" w:rsidRDefault="00177C36" w:rsidP="00C277D6">
      <w:pPr>
        <w:jc w:val="both"/>
      </w:pPr>
      <w:r w:rsidRPr="001111BA">
        <w:rPr>
          <w:u w:val="single"/>
        </w:rPr>
        <w:t>Feladatköre</w:t>
      </w:r>
      <w:r w:rsidRPr="001111BA">
        <w:t>: gyomirtó szer engedélyezés koordinálása</w:t>
      </w:r>
      <w:r w:rsidR="00642F79" w:rsidRPr="001111BA">
        <w:t xml:space="preserve"> </w:t>
      </w:r>
    </w:p>
    <w:p w:rsidR="00177C36" w:rsidRPr="001111BA" w:rsidRDefault="00177C36" w:rsidP="00C277D6">
      <w:pPr>
        <w:jc w:val="both"/>
      </w:pPr>
      <w:r w:rsidRPr="001111BA">
        <w:t xml:space="preserve">Elérhetősége: </w:t>
      </w:r>
      <w:hyperlink r:id="rId11" w:history="1">
        <w:r w:rsidR="007F3362" w:rsidRPr="001111BA">
          <w:rPr>
            <w:rStyle w:val="Hiperhivatkozs"/>
          </w:rPr>
          <w:t>KovariM@nebih.gov.hu</w:t>
        </w:r>
      </w:hyperlink>
    </w:p>
    <w:p w:rsidR="00177C36" w:rsidRPr="001111BA" w:rsidRDefault="00177C36" w:rsidP="00C277D6">
      <w:pPr>
        <w:jc w:val="both"/>
        <w:rPr>
          <w:i/>
        </w:rPr>
      </w:pPr>
    </w:p>
    <w:p w:rsidR="00177C36" w:rsidRPr="001111BA" w:rsidRDefault="00177C36" w:rsidP="00C277D6">
      <w:pPr>
        <w:jc w:val="both"/>
      </w:pPr>
      <w:r w:rsidRPr="001111BA">
        <w:rPr>
          <w:i/>
        </w:rPr>
        <w:t>Nagyné dr. Kelemen Mária</w:t>
      </w:r>
      <w:r w:rsidRPr="001111BA">
        <w:t xml:space="preserve">, engedélyezési mérnökszakértő </w:t>
      </w:r>
    </w:p>
    <w:p w:rsidR="00177C36" w:rsidRPr="001111BA" w:rsidRDefault="00177C36" w:rsidP="00C277D6">
      <w:pPr>
        <w:jc w:val="both"/>
      </w:pPr>
      <w:r w:rsidRPr="001111BA">
        <w:rPr>
          <w:u w:val="single"/>
        </w:rPr>
        <w:t>Feladatköre</w:t>
      </w:r>
      <w:r w:rsidRPr="001111BA">
        <w:t xml:space="preserve">: gombaölő szer engedélyezés koordinálása, </w:t>
      </w:r>
      <w:r w:rsidR="004744BD" w:rsidRPr="001111BA">
        <w:t>zonális</w:t>
      </w:r>
      <w:r w:rsidR="004744BD" w:rsidRPr="001111BA">
        <w:rPr>
          <w:color w:val="1F497D"/>
        </w:rPr>
        <w:t xml:space="preserve"> </w:t>
      </w:r>
      <w:r w:rsidR="00B50A35" w:rsidRPr="001111BA">
        <w:t>eljárás</w:t>
      </w:r>
      <w:r w:rsidR="007F3362" w:rsidRPr="001111BA">
        <w:t>ok koordinálása, a Középső Zónás Állandó Bizottság kapcsolattartója</w:t>
      </w:r>
    </w:p>
    <w:p w:rsidR="00177C36" w:rsidRPr="001111BA" w:rsidRDefault="00177C36" w:rsidP="00C277D6">
      <w:pPr>
        <w:jc w:val="both"/>
      </w:pPr>
      <w:r w:rsidRPr="001111BA">
        <w:t xml:space="preserve">Elérhetősége: </w:t>
      </w:r>
      <w:hyperlink r:id="rId12" w:history="1">
        <w:r w:rsidRPr="001111BA">
          <w:rPr>
            <w:rStyle w:val="Hiperhivatkozs"/>
          </w:rPr>
          <w:t>KelemenM@nebih.gov.hu</w:t>
        </w:r>
      </w:hyperlink>
    </w:p>
    <w:p w:rsidR="00177C36" w:rsidRPr="001111BA" w:rsidRDefault="00177C36" w:rsidP="00C277D6">
      <w:pPr>
        <w:jc w:val="both"/>
      </w:pPr>
    </w:p>
    <w:p w:rsidR="00177C36" w:rsidRPr="001111BA" w:rsidRDefault="00177C36" w:rsidP="00C277D6">
      <w:pPr>
        <w:jc w:val="both"/>
      </w:pPr>
      <w:r w:rsidRPr="001111BA">
        <w:rPr>
          <w:i/>
        </w:rPr>
        <w:t>Szabó Yvonne</w:t>
      </w:r>
      <w:r w:rsidRPr="001111BA">
        <w:t>, engedélyezési mérnökszakértő</w:t>
      </w:r>
    </w:p>
    <w:p w:rsidR="00177C36" w:rsidRPr="001111BA" w:rsidRDefault="00177C36" w:rsidP="00C277D6">
      <w:pPr>
        <w:jc w:val="both"/>
      </w:pPr>
      <w:r w:rsidRPr="001111BA">
        <w:rPr>
          <w:u w:val="single"/>
        </w:rPr>
        <w:t>Feladatköre</w:t>
      </w:r>
      <w:r w:rsidRPr="001111BA">
        <w:t xml:space="preserve">: </w:t>
      </w:r>
      <w:r w:rsidR="006445CA" w:rsidRPr="001111BA">
        <w:t>növekedésszabályozók</w:t>
      </w:r>
      <w:r w:rsidR="003F485E" w:rsidRPr="001111BA">
        <w:t xml:space="preserve">, növényvédő szernek nem minősülő termékek, növényvédelmi célú eszközök, makroszervezetek engedélyezése, </w:t>
      </w:r>
      <w:r w:rsidR="008E4E5B" w:rsidRPr="001111BA">
        <w:t xml:space="preserve">valamint </w:t>
      </w:r>
      <w:r w:rsidR="003F485E" w:rsidRPr="001111BA">
        <w:t>okiratok honlapra tétele</w:t>
      </w:r>
    </w:p>
    <w:p w:rsidR="00177C36" w:rsidRPr="001111BA" w:rsidRDefault="00177C36" w:rsidP="00C277D6">
      <w:pPr>
        <w:jc w:val="both"/>
      </w:pPr>
      <w:r w:rsidRPr="001111BA">
        <w:t xml:space="preserve">Elérhetősége: </w:t>
      </w:r>
      <w:hyperlink r:id="rId13" w:history="1">
        <w:r w:rsidR="00475FFC" w:rsidRPr="001111BA">
          <w:rPr>
            <w:rStyle w:val="Hiperhivatkozs"/>
          </w:rPr>
          <w:t>SzaboY@nebih.gov.hu</w:t>
        </w:r>
      </w:hyperlink>
    </w:p>
    <w:p w:rsidR="00E32728" w:rsidRPr="001111BA" w:rsidRDefault="00E32728" w:rsidP="00C277D6">
      <w:pPr>
        <w:jc w:val="both"/>
        <w:rPr>
          <w:i/>
        </w:rPr>
      </w:pPr>
    </w:p>
    <w:p w:rsidR="00C714C8" w:rsidRPr="001111BA" w:rsidRDefault="00C714C8" w:rsidP="00C277D6">
      <w:pPr>
        <w:jc w:val="both"/>
      </w:pPr>
      <w:r w:rsidRPr="001111BA">
        <w:rPr>
          <w:i/>
        </w:rPr>
        <w:t>Takácsné Kiss Rita</w:t>
      </w:r>
      <w:r w:rsidRPr="001111BA">
        <w:t>, adminisztrátor</w:t>
      </w:r>
    </w:p>
    <w:p w:rsidR="00C714C8" w:rsidRPr="001111BA" w:rsidRDefault="00C714C8" w:rsidP="00C277D6">
      <w:pPr>
        <w:jc w:val="both"/>
      </w:pPr>
      <w:r w:rsidRPr="001111BA">
        <w:rPr>
          <w:u w:val="single"/>
        </w:rPr>
        <w:t>Feladatköre</w:t>
      </w:r>
      <w:r w:rsidRPr="001111BA">
        <w:t>: kérelmek érkeztetése, szignálás, elkészült anyagok postázása, számlázás</w:t>
      </w:r>
    </w:p>
    <w:p w:rsidR="00C714C8" w:rsidRPr="001111BA" w:rsidRDefault="00C714C8" w:rsidP="00C277D6">
      <w:pPr>
        <w:jc w:val="both"/>
      </w:pPr>
      <w:r w:rsidRPr="001111BA">
        <w:t xml:space="preserve">Elérhetősége: </w:t>
      </w:r>
      <w:hyperlink r:id="rId14" w:history="1">
        <w:r w:rsidRPr="001111BA">
          <w:rPr>
            <w:rStyle w:val="Hiperhivatkozs"/>
          </w:rPr>
          <w:t>KissRita@nebih.gov.hu</w:t>
        </w:r>
      </w:hyperlink>
    </w:p>
    <w:p w:rsidR="00C277D6" w:rsidRPr="001111BA" w:rsidRDefault="00C277D6" w:rsidP="00C277D6">
      <w:pPr>
        <w:jc w:val="both"/>
      </w:pPr>
    </w:p>
    <w:p w:rsidR="00C277D6" w:rsidRPr="001111BA" w:rsidRDefault="00C277D6" w:rsidP="00C277D6">
      <w:pPr>
        <w:jc w:val="both"/>
      </w:pPr>
      <w:r w:rsidRPr="001111BA">
        <w:rPr>
          <w:i/>
        </w:rPr>
        <w:t xml:space="preserve">Talabér Cecília, </w:t>
      </w:r>
      <w:r w:rsidRPr="001111BA">
        <w:t>engedélyezési mérnökszakértő</w:t>
      </w:r>
    </w:p>
    <w:p w:rsidR="00C277D6" w:rsidRPr="001111BA" w:rsidRDefault="00C277D6" w:rsidP="00C277D6">
      <w:pPr>
        <w:jc w:val="both"/>
      </w:pPr>
      <w:r w:rsidRPr="001111BA">
        <w:rPr>
          <w:u w:val="single"/>
        </w:rPr>
        <w:t>Feladatköre</w:t>
      </w:r>
      <w:r w:rsidRPr="001111BA">
        <w:t>: engedélyek hosszabbítása, módosítása, származtatott engedélyek kiadása</w:t>
      </w:r>
    </w:p>
    <w:p w:rsidR="00C277D6" w:rsidRPr="001111BA" w:rsidRDefault="00C277D6" w:rsidP="00C277D6">
      <w:pPr>
        <w:jc w:val="both"/>
      </w:pPr>
      <w:r w:rsidRPr="001111BA">
        <w:t xml:space="preserve">Elérhetősége: </w:t>
      </w:r>
      <w:hyperlink r:id="rId15" w:history="1">
        <w:r w:rsidRPr="001111BA">
          <w:rPr>
            <w:rStyle w:val="Hiperhivatkozs"/>
          </w:rPr>
          <w:t>TalaberC@nebih.gov.hu</w:t>
        </w:r>
      </w:hyperlink>
    </w:p>
    <w:p w:rsidR="007F3362" w:rsidRDefault="007F3362" w:rsidP="00C277D6">
      <w:pPr>
        <w:jc w:val="both"/>
        <w:rPr>
          <w:b/>
        </w:rPr>
      </w:pPr>
    </w:p>
    <w:p w:rsidR="007B048B" w:rsidRPr="001111BA" w:rsidRDefault="007B048B" w:rsidP="00C277D6">
      <w:pPr>
        <w:jc w:val="both"/>
        <w:rPr>
          <w:b/>
        </w:rPr>
      </w:pPr>
    </w:p>
    <w:p w:rsidR="007F3362" w:rsidRPr="001111BA" w:rsidRDefault="007F3362" w:rsidP="00C277D6">
      <w:pPr>
        <w:jc w:val="both"/>
      </w:pPr>
      <w:r w:rsidRPr="001111BA">
        <w:rPr>
          <w:i/>
        </w:rPr>
        <w:lastRenderedPageBreak/>
        <w:t>Tót Erika</w:t>
      </w:r>
      <w:r w:rsidRPr="001111BA">
        <w:t>, engedélyezési mérnökszakértő</w:t>
      </w:r>
    </w:p>
    <w:p w:rsidR="00C714C8" w:rsidRPr="001111BA" w:rsidRDefault="007F3362" w:rsidP="00C277D6">
      <w:pPr>
        <w:jc w:val="both"/>
      </w:pPr>
      <w:r w:rsidRPr="001111BA">
        <w:rPr>
          <w:u w:val="single"/>
        </w:rPr>
        <w:t>Feladatköre</w:t>
      </w:r>
      <w:r w:rsidRPr="001111BA">
        <w:t>: termésnövelő anyagok engedélyezése, EK-műtrágyák nyilvántartásba vétele, növényvédő szer kísérleti engedélyek megadása</w:t>
      </w:r>
    </w:p>
    <w:p w:rsidR="007F3362" w:rsidRPr="001111BA" w:rsidRDefault="007F3362" w:rsidP="00C277D6">
      <w:pPr>
        <w:jc w:val="both"/>
      </w:pPr>
      <w:r w:rsidRPr="001111BA">
        <w:t xml:space="preserve">Elérhetősége: </w:t>
      </w:r>
      <w:hyperlink r:id="rId16" w:history="1">
        <w:r w:rsidRPr="001111BA">
          <w:rPr>
            <w:rStyle w:val="Hiperhivatkozs"/>
          </w:rPr>
          <w:t>TotE@nebih.gov.hu</w:t>
        </w:r>
      </w:hyperlink>
    </w:p>
    <w:p w:rsidR="007F3362" w:rsidRPr="001111BA" w:rsidRDefault="007F3362" w:rsidP="00C277D6">
      <w:pPr>
        <w:jc w:val="both"/>
        <w:rPr>
          <w:b/>
        </w:rPr>
      </w:pPr>
    </w:p>
    <w:p w:rsidR="00177C36" w:rsidRPr="001111BA" w:rsidRDefault="00177C36" w:rsidP="00C277D6">
      <w:pPr>
        <w:jc w:val="both"/>
        <w:rPr>
          <w:i/>
        </w:rPr>
      </w:pPr>
      <w:r w:rsidRPr="001111BA">
        <w:rPr>
          <w:i/>
        </w:rPr>
        <w:t xml:space="preserve">Dr. Tőkés Gábor, </w:t>
      </w:r>
      <w:r w:rsidRPr="001111BA">
        <w:t>igazgatóhelyettes</w:t>
      </w:r>
      <w:r w:rsidR="00C714C8" w:rsidRPr="001111BA">
        <w:t>, osztályvezető</w:t>
      </w:r>
    </w:p>
    <w:p w:rsidR="00177C36" w:rsidRPr="001111BA" w:rsidRDefault="00177C36" w:rsidP="00C277D6">
      <w:pPr>
        <w:jc w:val="both"/>
      </w:pPr>
      <w:r w:rsidRPr="001111BA">
        <w:rPr>
          <w:u w:val="single"/>
        </w:rPr>
        <w:t>Feladatköre</w:t>
      </w:r>
      <w:r w:rsidRPr="001111BA">
        <w:t xml:space="preserve">: engedélyezési munka szervezése, koordinálása, jogalkotás </w:t>
      </w:r>
    </w:p>
    <w:p w:rsidR="00177C36" w:rsidRPr="001111BA" w:rsidRDefault="00177C36" w:rsidP="00C277D6">
      <w:pPr>
        <w:jc w:val="both"/>
      </w:pPr>
      <w:r w:rsidRPr="001111BA">
        <w:t xml:space="preserve">Elérhetősége: </w:t>
      </w:r>
      <w:hyperlink r:id="rId17" w:history="1">
        <w:r w:rsidRPr="001111BA">
          <w:rPr>
            <w:rStyle w:val="Hiperhivatkozs"/>
          </w:rPr>
          <w:t>TokesG@nebih.gov.hu</w:t>
        </w:r>
      </w:hyperlink>
    </w:p>
    <w:p w:rsidR="00C277D6" w:rsidRPr="001111BA" w:rsidRDefault="00C277D6" w:rsidP="00C277D6">
      <w:pPr>
        <w:jc w:val="both"/>
        <w:rPr>
          <w:b/>
        </w:rPr>
      </w:pPr>
    </w:p>
    <w:p w:rsidR="00D66529" w:rsidRPr="001111BA" w:rsidRDefault="00D66529" w:rsidP="00D66529">
      <w:pPr>
        <w:jc w:val="both"/>
      </w:pPr>
      <w:r w:rsidRPr="001111BA">
        <w:rPr>
          <w:i/>
        </w:rPr>
        <w:t xml:space="preserve">Varga-Bagi Nóra, </w:t>
      </w:r>
      <w:r w:rsidRPr="001111BA">
        <w:t>engedélyezési mérnökszakértő</w:t>
      </w:r>
    </w:p>
    <w:p w:rsidR="00D66529" w:rsidRPr="001111BA" w:rsidRDefault="00D66529" w:rsidP="00D66529">
      <w:pPr>
        <w:jc w:val="both"/>
        <w:rPr>
          <w:i/>
        </w:rPr>
      </w:pPr>
      <w:r w:rsidRPr="001111BA">
        <w:rPr>
          <w:u w:val="single"/>
        </w:rPr>
        <w:t>Feladatköre</w:t>
      </w:r>
      <w:r w:rsidRPr="001111BA">
        <w:t xml:space="preserve">: párhuzamos import engedélyezés koordinálása, </w:t>
      </w:r>
      <w:r w:rsidR="00CB3418">
        <w:t xml:space="preserve">kereskedelmi </w:t>
      </w:r>
      <w:r w:rsidRPr="001111BA">
        <w:t>gyűjtőcsomag hozzájárulások megadása</w:t>
      </w:r>
    </w:p>
    <w:p w:rsidR="00D66529" w:rsidRPr="001111BA" w:rsidRDefault="00D66529" w:rsidP="00D66529">
      <w:pPr>
        <w:jc w:val="both"/>
      </w:pPr>
      <w:r w:rsidRPr="001111BA">
        <w:t xml:space="preserve">Elérhetősége: </w:t>
      </w:r>
      <w:hyperlink r:id="rId18" w:history="1">
        <w:r w:rsidRPr="001111BA">
          <w:rPr>
            <w:rStyle w:val="Hiperhivatkozs"/>
          </w:rPr>
          <w:t>BagiN@nebih.gov.hu</w:t>
        </w:r>
      </w:hyperlink>
      <w:r w:rsidRPr="001111BA">
        <w:t xml:space="preserve"> </w:t>
      </w:r>
    </w:p>
    <w:p w:rsidR="00D66529" w:rsidRPr="001111BA" w:rsidRDefault="00D66529" w:rsidP="00C277D6">
      <w:pPr>
        <w:jc w:val="both"/>
        <w:rPr>
          <w:b/>
        </w:rPr>
      </w:pPr>
    </w:p>
    <w:p w:rsidR="00D66529" w:rsidRPr="001111BA" w:rsidRDefault="00D66529" w:rsidP="00D66529">
      <w:pPr>
        <w:jc w:val="both"/>
        <w:rPr>
          <w:i/>
        </w:rPr>
      </w:pPr>
      <w:r w:rsidRPr="001111BA">
        <w:rPr>
          <w:i/>
        </w:rPr>
        <w:t xml:space="preserve">Vincze Viktória, </w:t>
      </w:r>
      <w:r w:rsidRPr="001111BA">
        <w:t>engedélyezési mérnökszakértő</w:t>
      </w:r>
    </w:p>
    <w:p w:rsidR="00D66529" w:rsidRPr="001111BA" w:rsidRDefault="00D66529" w:rsidP="00D66529">
      <w:pPr>
        <w:jc w:val="both"/>
      </w:pPr>
      <w:r w:rsidRPr="001111BA">
        <w:rPr>
          <w:u w:val="single"/>
        </w:rPr>
        <w:t>Feladatköre</w:t>
      </w:r>
      <w:r w:rsidRPr="001111BA">
        <w:t>: termésnövelő anyagok biológiai vizsgálatainak koordinálása, termésnövelő anyagok kísérleti engedélyek kiadása</w:t>
      </w:r>
    </w:p>
    <w:p w:rsidR="00D66529" w:rsidRPr="001111BA" w:rsidRDefault="00D66529" w:rsidP="00D66529">
      <w:pPr>
        <w:jc w:val="both"/>
      </w:pPr>
      <w:r w:rsidRPr="001111BA">
        <w:t xml:space="preserve">Elérhetősége: </w:t>
      </w:r>
      <w:hyperlink r:id="rId19" w:history="1">
        <w:r w:rsidRPr="001111BA">
          <w:rPr>
            <w:rStyle w:val="Hiperhivatkozs"/>
          </w:rPr>
          <w:t>VinczeVik@nebih.gov.hu</w:t>
        </w:r>
      </w:hyperlink>
    </w:p>
    <w:p w:rsidR="00D66529" w:rsidRPr="001111BA" w:rsidRDefault="00D66529" w:rsidP="00C277D6">
      <w:pPr>
        <w:jc w:val="both"/>
        <w:rPr>
          <w:b/>
        </w:rPr>
      </w:pPr>
    </w:p>
    <w:p w:rsidR="00D66529" w:rsidRPr="001111BA" w:rsidRDefault="00D66529" w:rsidP="00C277D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C52A11" w:rsidRPr="001111BA" w:rsidTr="00910148">
        <w:tc>
          <w:tcPr>
            <w:tcW w:w="9212" w:type="dxa"/>
            <w:shd w:val="clear" w:color="auto" w:fill="C2D69B"/>
          </w:tcPr>
          <w:p w:rsidR="00C52A11" w:rsidRPr="001111BA" w:rsidRDefault="000E174E" w:rsidP="00C277D6">
            <w:pPr>
              <w:numPr>
                <w:ilvl w:val="0"/>
                <w:numId w:val="5"/>
              </w:numPr>
              <w:jc w:val="both"/>
              <w:rPr>
                <w:b/>
                <w:i/>
              </w:rPr>
            </w:pPr>
            <w:r w:rsidRPr="001111BA">
              <w:rPr>
                <w:b/>
              </w:rPr>
              <w:t>NÖVÉNYVÉDŐ SZER ÉS TERMÉSNÖVELŐ ANYAG</w:t>
            </w:r>
            <w:r w:rsidRPr="001111BA">
              <w:rPr>
                <w:b/>
                <w:bCs/>
              </w:rPr>
              <w:t xml:space="preserve"> ÉRTÉKELÉSI OSZTÁLY</w:t>
            </w:r>
          </w:p>
        </w:tc>
      </w:tr>
    </w:tbl>
    <w:p w:rsidR="00D37C37" w:rsidRPr="001111BA" w:rsidRDefault="00D37C37" w:rsidP="00C277D6">
      <w:pPr>
        <w:jc w:val="both"/>
        <w:rPr>
          <w:b/>
        </w:rPr>
      </w:pPr>
    </w:p>
    <w:p w:rsidR="00C277D6" w:rsidRPr="001111BA" w:rsidRDefault="00C277D6" w:rsidP="00C277D6">
      <w:pPr>
        <w:jc w:val="both"/>
        <w:rPr>
          <w:b/>
        </w:rPr>
      </w:pPr>
    </w:p>
    <w:p w:rsidR="00C277D6" w:rsidRPr="001111BA" w:rsidRDefault="00C277D6" w:rsidP="00C277D6">
      <w:pPr>
        <w:jc w:val="both"/>
      </w:pPr>
      <w:r w:rsidRPr="001111BA">
        <w:rPr>
          <w:i/>
        </w:rPr>
        <w:t xml:space="preserve">Botyánszki Adrienn, </w:t>
      </w:r>
      <w:r w:rsidRPr="001111BA">
        <w:t>engedélyezési mérnökszakértő</w:t>
      </w:r>
    </w:p>
    <w:p w:rsidR="00C277D6" w:rsidRPr="001111BA" w:rsidRDefault="00C277D6" w:rsidP="00C277D6">
      <w:pPr>
        <w:jc w:val="both"/>
      </w:pPr>
      <w:r w:rsidRPr="001111BA">
        <w:rPr>
          <w:u w:val="single"/>
        </w:rPr>
        <w:t>Feladatköre</w:t>
      </w:r>
      <w:r w:rsidRPr="001111BA">
        <w:t>: hatóanyagok megengedett növényvédőszer-maradék határértékeinek értékelése a készítmények engedélyezése során</w:t>
      </w:r>
    </w:p>
    <w:p w:rsidR="00C277D6" w:rsidRPr="001111BA" w:rsidRDefault="00C277D6" w:rsidP="00C277D6">
      <w:pPr>
        <w:jc w:val="both"/>
      </w:pPr>
      <w:r w:rsidRPr="001111BA">
        <w:t xml:space="preserve">Elérhetősége: </w:t>
      </w:r>
      <w:hyperlink r:id="rId20" w:history="1">
        <w:r w:rsidRPr="001111BA">
          <w:rPr>
            <w:rStyle w:val="Hiperhivatkozs"/>
          </w:rPr>
          <w:t xml:space="preserve">BotyanszkiA@nebih.gov.hu </w:t>
        </w:r>
      </w:hyperlink>
    </w:p>
    <w:p w:rsidR="00C277D6" w:rsidRPr="001111BA" w:rsidRDefault="00C277D6" w:rsidP="00C277D6">
      <w:pPr>
        <w:jc w:val="both"/>
        <w:rPr>
          <w:b/>
        </w:rPr>
      </w:pPr>
    </w:p>
    <w:p w:rsidR="00C277D6" w:rsidRPr="001111BA" w:rsidRDefault="00C277D6" w:rsidP="00C277D6">
      <w:pPr>
        <w:jc w:val="both"/>
      </w:pPr>
      <w:r w:rsidRPr="001111BA">
        <w:rPr>
          <w:i/>
        </w:rPr>
        <w:t xml:space="preserve">Dr. Dienes Dóra, </w:t>
      </w:r>
      <w:r w:rsidR="00153F43" w:rsidRPr="001111BA">
        <w:t xml:space="preserve"> </w:t>
      </w:r>
      <w:r w:rsidRPr="001111BA">
        <w:t>engedélyezési mérnökszakértő</w:t>
      </w:r>
    </w:p>
    <w:p w:rsidR="00C277D6" w:rsidRPr="001111BA" w:rsidRDefault="00C277D6" w:rsidP="00C277D6">
      <w:pPr>
        <w:jc w:val="both"/>
      </w:pPr>
      <w:r w:rsidRPr="001111BA">
        <w:rPr>
          <w:u w:val="single"/>
        </w:rPr>
        <w:t>Feladatköre</w:t>
      </w:r>
      <w:r w:rsidRPr="001111BA">
        <w:t>: hatóanyagok, készítmények környezeti sorsának értékelése</w:t>
      </w:r>
    </w:p>
    <w:p w:rsidR="00C277D6" w:rsidRPr="001111BA" w:rsidRDefault="00C277D6" w:rsidP="00C277D6">
      <w:pPr>
        <w:jc w:val="both"/>
      </w:pPr>
      <w:r w:rsidRPr="001111BA">
        <w:t xml:space="preserve">Elérhetősége: </w:t>
      </w:r>
      <w:hyperlink r:id="rId21" w:history="1">
        <w:r w:rsidRPr="001111BA">
          <w:rPr>
            <w:rStyle w:val="Hiperhivatkozs"/>
          </w:rPr>
          <w:t>DienesD@nebih.gov.hu</w:t>
        </w:r>
      </w:hyperlink>
    </w:p>
    <w:p w:rsidR="004D57FC" w:rsidRPr="001111BA" w:rsidRDefault="004D57FC" w:rsidP="00C277D6">
      <w:pPr>
        <w:jc w:val="both"/>
        <w:rPr>
          <w:b/>
        </w:rPr>
      </w:pPr>
    </w:p>
    <w:p w:rsidR="008944BC" w:rsidRPr="001111BA" w:rsidRDefault="008944BC" w:rsidP="008944BC">
      <w:pPr>
        <w:jc w:val="both"/>
      </w:pPr>
      <w:r w:rsidRPr="001111BA">
        <w:rPr>
          <w:i/>
        </w:rPr>
        <w:t>Fekete-Kertész Ildikó</w:t>
      </w:r>
      <w:r w:rsidRPr="001111BA">
        <w:rPr>
          <w:b/>
        </w:rPr>
        <w:t xml:space="preserve"> </w:t>
      </w:r>
      <w:r w:rsidRPr="001111BA">
        <w:rPr>
          <w:i/>
        </w:rPr>
        <w:t xml:space="preserve"> </w:t>
      </w:r>
      <w:r w:rsidRPr="001111BA">
        <w:t xml:space="preserve"> engedélyezési mérnökszakértő</w:t>
      </w:r>
    </w:p>
    <w:p w:rsidR="008944BC" w:rsidRPr="001111BA" w:rsidRDefault="008944BC" w:rsidP="008944BC">
      <w:pPr>
        <w:jc w:val="both"/>
        <w:rPr>
          <w:i/>
        </w:rPr>
      </w:pPr>
      <w:r w:rsidRPr="001111BA">
        <w:rPr>
          <w:u w:val="single"/>
        </w:rPr>
        <w:t>Feladatköre</w:t>
      </w:r>
      <w:r w:rsidRPr="001111BA">
        <w:t>: hatóanyagok, készítmények környezetei értékelése</w:t>
      </w:r>
    </w:p>
    <w:p w:rsidR="008944BC" w:rsidRPr="001111BA" w:rsidRDefault="008944BC" w:rsidP="008944BC">
      <w:pPr>
        <w:jc w:val="both"/>
      </w:pPr>
      <w:r w:rsidRPr="001111BA">
        <w:t xml:space="preserve">Elérhetősége: </w:t>
      </w:r>
      <w:hyperlink r:id="rId22" w:history="1">
        <w:r w:rsidRPr="001111BA">
          <w:rPr>
            <w:rStyle w:val="Hiperhivatkozs"/>
          </w:rPr>
          <w:t>Fekete-Kerteszi@nebih.gov.hu</w:t>
        </w:r>
      </w:hyperlink>
    </w:p>
    <w:p w:rsidR="00D66529" w:rsidRPr="001111BA" w:rsidRDefault="00D66529" w:rsidP="00C277D6">
      <w:pPr>
        <w:jc w:val="both"/>
        <w:rPr>
          <w:b/>
        </w:rPr>
      </w:pPr>
    </w:p>
    <w:p w:rsidR="004D57FC" w:rsidRPr="001111BA" w:rsidRDefault="004D57FC" w:rsidP="00C277D6">
      <w:pPr>
        <w:jc w:val="both"/>
      </w:pPr>
      <w:r w:rsidRPr="001111BA">
        <w:rPr>
          <w:i/>
        </w:rPr>
        <w:t xml:space="preserve">Griff Tamás, </w:t>
      </w:r>
      <w:r w:rsidRPr="001111BA">
        <w:t xml:space="preserve">osztályvezető </w:t>
      </w:r>
    </w:p>
    <w:p w:rsidR="004D57FC" w:rsidRPr="001111BA" w:rsidRDefault="004D57FC" w:rsidP="00C277D6">
      <w:pPr>
        <w:jc w:val="both"/>
      </w:pPr>
      <w:r w:rsidRPr="001111BA">
        <w:rPr>
          <w:u w:val="single"/>
        </w:rPr>
        <w:t>Feladatköre</w:t>
      </w:r>
      <w:r w:rsidRPr="001111BA">
        <w:t>: hatóanyag és készítmény értékelések koordinálása, megengedett növényvédőszer-maradék határértékek</w:t>
      </w:r>
    </w:p>
    <w:p w:rsidR="004D57FC" w:rsidRPr="001111BA" w:rsidRDefault="004D57FC" w:rsidP="00C277D6">
      <w:pPr>
        <w:jc w:val="both"/>
      </w:pPr>
      <w:r w:rsidRPr="001111BA">
        <w:t xml:space="preserve">Elérhetősége: </w:t>
      </w:r>
      <w:hyperlink r:id="rId23" w:history="1">
        <w:r w:rsidRPr="001111BA">
          <w:rPr>
            <w:rStyle w:val="Hiperhivatkozs"/>
          </w:rPr>
          <w:t xml:space="preserve">GriffT@nebih.gov.hu </w:t>
        </w:r>
      </w:hyperlink>
    </w:p>
    <w:p w:rsidR="00C277D6" w:rsidRPr="001111BA" w:rsidRDefault="00C277D6" w:rsidP="00C277D6">
      <w:pPr>
        <w:jc w:val="both"/>
        <w:rPr>
          <w:b/>
        </w:rPr>
      </w:pPr>
    </w:p>
    <w:p w:rsidR="004D57FC" w:rsidRPr="001111BA" w:rsidRDefault="004D57FC" w:rsidP="00C277D6">
      <w:pPr>
        <w:jc w:val="both"/>
      </w:pPr>
      <w:r w:rsidRPr="001111BA">
        <w:rPr>
          <w:i/>
        </w:rPr>
        <w:t xml:space="preserve">Janka Adél, </w:t>
      </w:r>
      <w:r w:rsidRPr="001111BA">
        <w:t>engedélyezési mérnökszakértő</w:t>
      </w:r>
    </w:p>
    <w:p w:rsidR="004D57FC" w:rsidRPr="001111BA" w:rsidRDefault="004D57FC" w:rsidP="00C277D6">
      <w:pPr>
        <w:jc w:val="both"/>
      </w:pPr>
      <w:r w:rsidRPr="001111BA">
        <w:rPr>
          <w:u w:val="single"/>
        </w:rPr>
        <w:t>Feladatköre</w:t>
      </w:r>
      <w:r w:rsidRPr="001111BA">
        <w:t xml:space="preserve">: készítmény felülvizsgálat (Step2) koordinálása, </w:t>
      </w:r>
      <w:r w:rsidR="00C277D6" w:rsidRPr="001111BA">
        <w:t xml:space="preserve">CLP ügyek koordinálása, </w:t>
      </w:r>
      <w:r w:rsidR="00153F43" w:rsidRPr="001111BA">
        <w:t xml:space="preserve">EU SCOPAFF </w:t>
      </w:r>
      <w:r w:rsidRPr="001111BA">
        <w:t xml:space="preserve"> üléseken magyar képviselet</w:t>
      </w:r>
      <w:r w:rsidR="00153F43" w:rsidRPr="001111BA">
        <w:t>, ENIR koordináció</w:t>
      </w:r>
    </w:p>
    <w:p w:rsidR="004D57FC" w:rsidRPr="001111BA" w:rsidRDefault="004D57FC" w:rsidP="00C277D6">
      <w:pPr>
        <w:jc w:val="both"/>
      </w:pPr>
      <w:r w:rsidRPr="001111BA">
        <w:t xml:space="preserve">Elérhetősége: </w:t>
      </w:r>
      <w:hyperlink r:id="rId24" w:history="1">
        <w:r w:rsidRPr="001111BA">
          <w:rPr>
            <w:rStyle w:val="Hiperhivatkozs"/>
          </w:rPr>
          <w:t>JankaA@nebih.gov.hu</w:t>
        </w:r>
      </w:hyperlink>
    </w:p>
    <w:p w:rsidR="004D57FC" w:rsidRPr="001111BA" w:rsidRDefault="004D57FC" w:rsidP="00C277D6">
      <w:pPr>
        <w:jc w:val="both"/>
        <w:rPr>
          <w:i/>
        </w:rPr>
      </w:pPr>
    </w:p>
    <w:p w:rsidR="00C277D6" w:rsidRPr="001111BA" w:rsidRDefault="00C277D6" w:rsidP="00C277D6">
      <w:pPr>
        <w:jc w:val="both"/>
      </w:pPr>
      <w:r w:rsidRPr="001111BA">
        <w:rPr>
          <w:i/>
        </w:rPr>
        <w:t xml:space="preserve">Papp-Bozsik Júlia, </w:t>
      </w:r>
      <w:r w:rsidRPr="001111BA">
        <w:t>engedélyezési mérnökszakértő</w:t>
      </w:r>
    </w:p>
    <w:p w:rsidR="00C277D6" w:rsidRPr="001111BA" w:rsidRDefault="00C277D6" w:rsidP="00C277D6">
      <w:pPr>
        <w:jc w:val="both"/>
      </w:pPr>
      <w:r w:rsidRPr="001111BA">
        <w:rPr>
          <w:u w:val="single"/>
        </w:rPr>
        <w:t>Feladatköre</w:t>
      </w:r>
      <w:r w:rsidRPr="001111BA">
        <w:t>: fizkém- és analitikai szakvélemények készítése az engedélyezendő készítményekhez</w:t>
      </w:r>
    </w:p>
    <w:p w:rsidR="00C277D6" w:rsidRPr="001111BA" w:rsidRDefault="00C277D6" w:rsidP="00C277D6">
      <w:pPr>
        <w:jc w:val="both"/>
      </w:pPr>
      <w:r w:rsidRPr="001111BA">
        <w:t xml:space="preserve">Elérhetősége: </w:t>
      </w:r>
      <w:hyperlink r:id="rId25" w:history="1">
        <w:r w:rsidRPr="001111BA">
          <w:rPr>
            <w:rStyle w:val="Hiperhivatkozs"/>
          </w:rPr>
          <w:t xml:space="preserve">Papp-BozsikJ@nebih.gov.hu </w:t>
        </w:r>
      </w:hyperlink>
    </w:p>
    <w:p w:rsidR="004D57FC" w:rsidRPr="001111BA" w:rsidRDefault="004D57FC" w:rsidP="00C277D6">
      <w:pPr>
        <w:jc w:val="both"/>
        <w:rPr>
          <w:b/>
        </w:rPr>
      </w:pPr>
    </w:p>
    <w:p w:rsidR="000450F5" w:rsidRPr="001111BA" w:rsidRDefault="000450F5" w:rsidP="00C277D6">
      <w:pPr>
        <w:jc w:val="both"/>
        <w:rPr>
          <w:b/>
        </w:rPr>
      </w:pPr>
    </w:p>
    <w:p w:rsidR="004D57FC" w:rsidRPr="001111BA" w:rsidRDefault="004D57FC" w:rsidP="00C277D6">
      <w:pPr>
        <w:jc w:val="both"/>
      </w:pPr>
      <w:r w:rsidRPr="001111BA">
        <w:rPr>
          <w:i/>
        </w:rPr>
        <w:lastRenderedPageBreak/>
        <w:t xml:space="preserve">Dr. Pálovics Ágnes, </w:t>
      </w:r>
      <w:r w:rsidR="006D206C" w:rsidRPr="001111BA">
        <w:t xml:space="preserve">toxikológus, </w:t>
      </w:r>
      <w:r w:rsidRPr="001111BA">
        <w:t>engedélyezési mérnökszakértő</w:t>
      </w:r>
    </w:p>
    <w:p w:rsidR="004D57FC" w:rsidRPr="001111BA" w:rsidRDefault="004D57FC" w:rsidP="00C277D6">
      <w:pPr>
        <w:jc w:val="both"/>
      </w:pPr>
      <w:r w:rsidRPr="001111BA">
        <w:rPr>
          <w:u w:val="single"/>
        </w:rPr>
        <w:t>Feladatköre</w:t>
      </w:r>
      <w:r w:rsidRPr="001111BA">
        <w:t>: toxikológiai szakvélemények készítése az engedélyezendő készítményekhez</w:t>
      </w:r>
    </w:p>
    <w:p w:rsidR="004D57FC" w:rsidRPr="001111BA" w:rsidRDefault="004D57FC" w:rsidP="00C277D6">
      <w:pPr>
        <w:jc w:val="both"/>
      </w:pPr>
      <w:r w:rsidRPr="001111BA">
        <w:t xml:space="preserve">Elérhetősége: </w:t>
      </w:r>
      <w:hyperlink r:id="rId26" w:history="1">
        <w:r w:rsidRPr="001111BA">
          <w:rPr>
            <w:rStyle w:val="Hiperhivatkozs"/>
          </w:rPr>
          <w:t xml:space="preserve">PalovicsA@nebih.gov.hu </w:t>
        </w:r>
      </w:hyperlink>
    </w:p>
    <w:p w:rsidR="004D57FC" w:rsidRPr="001111BA" w:rsidRDefault="004D57FC" w:rsidP="00C277D6">
      <w:pPr>
        <w:jc w:val="both"/>
      </w:pPr>
    </w:p>
    <w:p w:rsidR="004D57FC" w:rsidRPr="001111BA" w:rsidRDefault="004D57FC" w:rsidP="00C277D6">
      <w:pPr>
        <w:jc w:val="both"/>
      </w:pPr>
      <w:r w:rsidRPr="001111BA">
        <w:rPr>
          <w:i/>
        </w:rPr>
        <w:t xml:space="preserve">Dr. Pethő Ágnes, </w:t>
      </w:r>
      <w:r w:rsidRPr="001111BA">
        <w:t>engedélyezési mérnökszakértő</w:t>
      </w:r>
    </w:p>
    <w:p w:rsidR="004D57FC" w:rsidRPr="001111BA" w:rsidRDefault="004D57FC" w:rsidP="00C277D6">
      <w:pPr>
        <w:jc w:val="both"/>
      </w:pPr>
      <w:r w:rsidRPr="001111BA">
        <w:rPr>
          <w:u w:val="single"/>
        </w:rPr>
        <w:t>Feladatköre</w:t>
      </w:r>
      <w:r w:rsidRPr="001111BA">
        <w:t>: hatóanyag megfelelőség elbírálása, felülvizsgálatok</w:t>
      </w:r>
      <w:r w:rsidR="00C277D6" w:rsidRPr="001111BA">
        <w:t xml:space="preserve">, a zonális értékelés bizalmas kötetének összeállítása, hatóanyag DAR vol.4 fejezetének összeállítása, </w:t>
      </w:r>
      <w:r w:rsidR="005B4287">
        <w:t>d</w:t>
      </w:r>
      <w:r w:rsidR="00C277D6" w:rsidRPr="001111BA">
        <w:t>RR part C fejezetének értékelése, Rotterdami egyezmény és a PIC rendelet export-import forgalmának ellenőrzése</w:t>
      </w:r>
    </w:p>
    <w:p w:rsidR="004D57FC" w:rsidRPr="001111BA" w:rsidRDefault="004D57FC" w:rsidP="00C277D6">
      <w:pPr>
        <w:jc w:val="both"/>
        <w:rPr>
          <w:rStyle w:val="Hiperhivatkozs"/>
        </w:rPr>
      </w:pPr>
      <w:r w:rsidRPr="001111BA">
        <w:t xml:space="preserve">Elérhetősége: </w:t>
      </w:r>
      <w:r w:rsidRPr="001111BA">
        <w:rPr>
          <w:rStyle w:val="Hiperhivatkozs"/>
        </w:rPr>
        <w:t>Petho</w:t>
      </w:r>
      <w:hyperlink r:id="rId27" w:history="1">
        <w:r w:rsidRPr="001111BA">
          <w:rPr>
            <w:rStyle w:val="Hiperhivatkozs"/>
          </w:rPr>
          <w:t>A</w:t>
        </w:r>
      </w:hyperlink>
      <w:r w:rsidRPr="001111BA">
        <w:rPr>
          <w:rStyle w:val="Hiperhivatkozs"/>
        </w:rPr>
        <w:t>@nebih.gov.hu</w:t>
      </w:r>
    </w:p>
    <w:p w:rsidR="004D57FC" w:rsidRPr="001111BA" w:rsidRDefault="004D57FC" w:rsidP="00C277D6">
      <w:pPr>
        <w:jc w:val="both"/>
      </w:pPr>
    </w:p>
    <w:p w:rsidR="004D57FC" w:rsidRPr="001111BA" w:rsidRDefault="004D57FC" w:rsidP="00C277D6">
      <w:pPr>
        <w:jc w:val="both"/>
        <w:rPr>
          <w:i/>
        </w:rPr>
      </w:pPr>
      <w:r w:rsidRPr="001111BA">
        <w:rPr>
          <w:i/>
        </w:rPr>
        <w:t xml:space="preserve">Dr. Repkényi Zoltán, </w:t>
      </w:r>
      <w:r w:rsidRPr="001111BA">
        <w:t xml:space="preserve">ökotoxikológus, </w:t>
      </w:r>
      <w:r w:rsidR="00A71099" w:rsidRPr="001111BA">
        <w:t xml:space="preserve"> engedélyezési mérnökszakértő</w:t>
      </w:r>
    </w:p>
    <w:p w:rsidR="004D57FC" w:rsidRPr="001111BA" w:rsidRDefault="004D57FC" w:rsidP="00C277D6">
      <w:pPr>
        <w:jc w:val="both"/>
        <w:rPr>
          <w:i/>
        </w:rPr>
      </w:pPr>
      <w:r w:rsidRPr="001111BA">
        <w:rPr>
          <w:u w:val="single"/>
        </w:rPr>
        <w:t>Feladatköre</w:t>
      </w:r>
      <w:r w:rsidRPr="001111BA">
        <w:t>: hatóanyagok, készítmények ökotoxikológiai értékelése</w:t>
      </w:r>
    </w:p>
    <w:p w:rsidR="004D57FC" w:rsidRPr="001111BA" w:rsidRDefault="004D57FC" w:rsidP="00C277D6">
      <w:pPr>
        <w:jc w:val="both"/>
      </w:pPr>
      <w:r w:rsidRPr="001111BA">
        <w:t xml:space="preserve">Elérhetősége: </w:t>
      </w:r>
      <w:hyperlink r:id="rId28" w:history="1">
        <w:r w:rsidRPr="001111BA">
          <w:rPr>
            <w:rStyle w:val="Hiperhivatkozs"/>
          </w:rPr>
          <w:t>RepkenyiZ@nebih.gov.hu</w:t>
        </w:r>
      </w:hyperlink>
    </w:p>
    <w:p w:rsidR="004D57FC" w:rsidRPr="001111BA" w:rsidRDefault="004D57FC" w:rsidP="00C277D6">
      <w:pPr>
        <w:jc w:val="both"/>
      </w:pPr>
    </w:p>
    <w:p w:rsidR="004D57FC" w:rsidRPr="001111BA" w:rsidRDefault="004D57FC" w:rsidP="00C277D6">
      <w:pPr>
        <w:jc w:val="both"/>
        <w:rPr>
          <w:i/>
        </w:rPr>
      </w:pPr>
      <w:r w:rsidRPr="001111BA">
        <w:rPr>
          <w:i/>
        </w:rPr>
        <w:t xml:space="preserve">Somogyiné Pálos Éva, </w:t>
      </w:r>
      <w:r w:rsidRPr="001111BA">
        <w:t>engedélyezési mérnökszakértő</w:t>
      </w:r>
    </w:p>
    <w:p w:rsidR="004D57FC" w:rsidRPr="001111BA" w:rsidRDefault="004D57FC" w:rsidP="00C277D6">
      <w:pPr>
        <w:jc w:val="both"/>
      </w:pPr>
      <w:r w:rsidRPr="001111BA">
        <w:rPr>
          <w:u w:val="single"/>
        </w:rPr>
        <w:t>Feladatköre</w:t>
      </w:r>
      <w:r w:rsidRPr="001111BA">
        <w:t xml:space="preserve">: EU-s jogszabályok követése, harmonizálása, </w:t>
      </w:r>
      <w:r w:rsidR="00C277D6" w:rsidRPr="001111BA">
        <w:t xml:space="preserve">magyar jogszabályok előkészítése, a nemzeti felülvizsgálat előkészítő fázisának elkészítése, </w:t>
      </w:r>
      <w:r w:rsidRPr="001111BA">
        <w:t>készítmény</w:t>
      </w:r>
      <w:r w:rsidR="00C277D6" w:rsidRPr="001111BA">
        <w:t xml:space="preserve"> </w:t>
      </w:r>
      <w:r w:rsidRPr="001111BA">
        <w:t>visszavonások</w:t>
      </w:r>
    </w:p>
    <w:p w:rsidR="004D57FC" w:rsidRPr="001111BA" w:rsidRDefault="004D57FC" w:rsidP="00C277D6">
      <w:pPr>
        <w:jc w:val="both"/>
        <w:rPr>
          <w:b/>
        </w:rPr>
      </w:pPr>
      <w:r w:rsidRPr="001111BA">
        <w:t xml:space="preserve">Elérhetősége: </w:t>
      </w:r>
      <w:hyperlink r:id="rId29" w:history="1">
        <w:r w:rsidRPr="001111BA">
          <w:rPr>
            <w:rStyle w:val="Hiperhivatkozs"/>
          </w:rPr>
          <w:t xml:space="preserve">SomogyineE@nebih.gov.hu </w:t>
        </w:r>
      </w:hyperlink>
    </w:p>
    <w:p w:rsidR="004D57FC" w:rsidRDefault="004D57FC" w:rsidP="00C277D6">
      <w:pPr>
        <w:jc w:val="both"/>
        <w:rPr>
          <w:color w:val="000000"/>
          <w:highlight w:val="yellow"/>
        </w:rPr>
      </w:pPr>
    </w:p>
    <w:p w:rsidR="00AE59D5" w:rsidRPr="001111BA" w:rsidRDefault="00AE59D5" w:rsidP="00C277D6">
      <w:pPr>
        <w:jc w:val="both"/>
        <w:rPr>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C52A11" w:rsidRPr="001111BA" w:rsidTr="00910148">
        <w:tc>
          <w:tcPr>
            <w:tcW w:w="9212" w:type="dxa"/>
            <w:shd w:val="clear" w:color="auto" w:fill="C2D69B"/>
          </w:tcPr>
          <w:p w:rsidR="00C52A11" w:rsidRPr="001111BA" w:rsidRDefault="009C4E44" w:rsidP="00C277D6">
            <w:pPr>
              <w:numPr>
                <w:ilvl w:val="0"/>
                <w:numId w:val="5"/>
              </w:numPr>
              <w:jc w:val="both"/>
              <w:rPr>
                <w:b/>
                <w:i/>
              </w:rPr>
            </w:pPr>
            <w:r w:rsidRPr="001111BA">
              <w:rPr>
                <w:b/>
              </w:rPr>
              <w:t>NÖVÉNYVÉDELMI TECHNOLÓGIA FEJLESZTÉSI ÉS KOORDINÁCIÓS OSZTÁLY</w:t>
            </w:r>
          </w:p>
        </w:tc>
      </w:tr>
    </w:tbl>
    <w:p w:rsidR="004D57FC" w:rsidRDefault="004D57FC" w:rsidP="00C277D6">
      <w:pPr>
        <w:jc w:val="both"/>
      </w:pPr>
    </w:p>
    <w:p w:rsidR="00AE59D5" w:rsidRPr="001111BA" w:rsidRDefault="00AE59D5" w:rsidP="00C277D6">
      <w:pPr>
        <w:jc w:val="both"/>
      </w:pPr>
    </w:p>
    <w:p w:rsidR="00C277D6" w:rsidRPr="001111BA" w:rsidRDefault="00C277D6" w:rsidP="00C277D6">
      <w:pPr>
        <w:jc w:val="both"/>
        <w:rPr>
          <w:u w:val="single"/>
        </w:rPr>
      </w:pPr>
      <w:r w:rsidRPr="001111BA">
        <w:rPr>
          <w:i/>
        </w:rPr>
        <w:t>Gál Péter</w:t>
      </w:r>
      <w:r w:rsidR="004D57FC" w:rsidRPr="001111BA">
        <w:rPr>
          <w:i/>
        </w:rPr>
        <w:t xml:space="preserve">, </w:t>
      </w:r>
      <w:r w:rsidR="00153F43" w:rsidRPr="001111BA">
        <w:t xml:space="preserve">növényvédelmi </w:t>
      </w:r>
      <w:r w:rsidRPr="001111BA">
        <w:t>mérnökszakértő</w:t>
      </w:r>
      <w:r w:rsidRPr="001111BA">
        <w:rPr>
          <w:u w:val="single"/>
        </w:rPr>
        <w:t xml:space="preserve"> </w:t>
      </w:r>
    </w:p>
    <w:p w:rsidR="004D57FC" w:rsidRPr="001111BA" w:rsidRDefault="004D57FC" w:rsidP="00C277D6">
      <w:pPr>
        <w:jc w:val="both"/>
      </w:pPr>
      <w:r w:rsidRPr="001111BA">
        <w:rPr>
          <w:u w:val="single"/>
        </w:rPr>
        <w:t>Feladatköre</w:t>
      </w:r>
      <w:r w:rsidRPr="001111BA">
        <w:t xml:space="preserve">: </w:t>
      </w:r>
      <w:r w:rsidR="00153F43" w:rsidRPr="001111BA">
        <w:t xml:space="preserve">növényvédő szerekkel </w:t>
      </w:r>
      <w:r w:rsidR="00C277D6" w:rsidRPr="001111BA">
        <w:t xml:space="preserve">végzett biológiai hatásvizsgálatok koordinálása, </w:t>
      </w:r>
      <w:r w:rsidRPr="001111BA">
        <w:t>készítmény</w:t>
      </w:r>
      <w:r w:rsidR="00CD4F79">
        <w:t>ek</w:t>
      </w:r>
      <w:r w:rsidRPr="001111BA">
        <w:t xml:space="preserve"> értékelés</w:t>
      </w:r>
      <w:r w:rsidR="00CD4F79">
        <w:t>e</w:t>
      </w:r>
      <w:r w:rsidRPr="001111BA">
        <w:t xml:space="preserve"> (technológia), vizsgálóhelyek hatósági elismerése (GEP)</w:t>
      </w:r>
      <w:r w:rsidR="00C277D6" w:rsidRPr="001111BA">
        <w:t xml:space="preserve">, </w:t>
      </w:r>
      <w:r w:rsidR="004A119C" w:rsidRPr="001111BA">
        <w:t>ö</w:t>
      </w:r>
      <w:r w:rsidR="00C277D6" w:rsidRPr="001111BA">
        <w:t xml:space="preserve">sszehasonlító </w:t>
      </w:r>
      <w:r w:rsidR="004A119C" w:rsidRPr="001111BA">
        <w:t>é</w:t>
      </w:r>
      <w:r w:rsidR="00C277D6" w:rsidRPr="001111BA">
        <w:t>rtékelés</w:t>
      </w:r>
      <w:r w:rsidR="00153F43" w:rsidRPr="001111BA">
        <w:t xml:space="preserve"> koordinálása</w:t>
      </w:r>
    </w:p>
    <w:p w:rsidR="004D57FC" w:rsidRPr="001111BA" w:rsidRDefault="004D57FC" w:rsidP="00C277D6">
      <w:pPr>
        <w:jc w:val="both"/>
      </w:pPr>
      <w:r w:rsidRPr="001111BA">
        <w:t xml:space="preserve">Elérhetősége: </w:t>
      </w:r>
      <w:hyperlink r:id="rId30" w:history="1">
        <w:r w:rsidR="00C277D6" w:rsidRPr="001111BA">
          <w:rPr>
            <w:rStyle w:val="Hiperhivatkozs"/>
          </w:rPr>
          <w:t>GalP@nebih.gov.hu</w:t>
        </w:r>
      </w:hyperlink>
    </w:p>
    <w:p w:rsidR="004D57FC" w:rsidRPr="001111BA" w:rsidRDefault="004D57FC" w:rsidP="00C277D6">
      <w:pPr>
        <w:jc w:val="both"/>
        <w:rPr>
          <w:highlight w:val="yellow"/>
        </w:rPr>
      </w:pPr>
    </w:p>
    <w:p w:rsidR="004D57FC" w:rsidRPr="001111BA" w:rsidRDefault="004D57FC" w:rsidP="00C277D6">
      <w:pPr>
        <w:jc w:val="both"/>
      </w:pPr>
      <w:r w:rsidRPr="001111BA">
        <w:rPr>
          <w:i/>
        </w:rPr>
        <w:t xml:space="preserve">Dr. Novák Róbert, </w:t>
      </w:r>
      <w:r w:rsidR="00554C28" w:rsidRPr="001111BA">
        <w:t xml:space="preserve">gyombiológiai </w:t>
      </w:r>
      <w:r w:rsidRPr="001111BA">
        <w:t>mérnökszakértő</w:t>
      </w:r>
    </w:p>
    <w:p w:rsidR="004D57FC" w:rsidRPr="001111BA" w:rsidRDefault="004D57FC" w:rsidP="00C277D6">
      <w:pPr>
        <w:jc w:val="both"/>
        <w:rPr>
          <w:i/>
        </w:rPr>
      </w:pPr>
      <w:r w:rsidRPr="001111BA">
        <w:rPr>
          <w:u w:val="single"/>
        </w:rPr>
        <w:t>Feladatköre</w:t>
      </w:r>
      <w:r w:rsidRPr="001111BA">
        <w:t>: gyomirtó szerekkel végzett biológiai hatásvizsgálatok koordinálása, vizsgálóhelyek hatósági elismerése (GEP)</w:t>
      </w:r>
    </w:p>
    <w:p w:rsidR="004D57FC" w:rsidRPr="001111BA" w:rsidRDefault="004D57FC" w:rsidP="00C277D6">
      <w:pPr>
        <w:jc w:val="both"/>
      </w:pPr>
      <w:r w:rsidRPr="001111BA">
        <w:t xml:space="preserve">Elérhetősége: </w:t>
      </w:r>
      <w:hyperlink r:id="rId31" w:history="1">
        <w:r w:rsidRPr="001111BA">
          <w:rPr>
            <w:rStyle w:val="Hiperhivatkozs"/>
          </w:rPr>
          <w:t>NovakR@nebih.gov.hu</w:t>
        </w:r>
      </w:hyperlink>
    </w:p>
    <w:p w:rsidR="00C277D6" w:rsidRPr="001111BA" w:rsidRDefault="00C277D6" w:rsidP="00C277D6">
      <w:pPr>
        <w:jc w:val="both"/>
      </w:pPr>
    </w:p>
    <w:p w:rsidR="00C277D6" w:rsidRPr="001111BA" w:rsidRDefault="00C277D6" w:rsidP="00C277D6">
      <w:pPr>
        <w:jc w:val="both"/>
        <w:rPr>
          <w:i/>
        </w:rPr>
      </w:pPr>
      <w:r w:rsidRPr="001111BA">
        <w:rPr>
          <w:i/>
        </w:rPr>
        <w:t xml:space="preserve">Pánczél Milán, </w:t>
      </w:r>
      <w:r w:rsidRPr="001111BA">
        <w:t>növénykórtani mérnökszakértő</w:t>
      </w:r>
    </w:p>
    <w:p w:rsidR="00C277D6" w:rsidRPr="001111BA" w:rsidRDefault="00C277D6" w:rsidP="00C277D6">
      <w:pPr>
        <w:jc w:val="both"/>
      </w:pPr>
      <w:r w:rsidRPr="001111BA">
        <w:rPr>
          <w:u w:val="single"/>
        </w:rPr>
        <w:t>Feladatköre</w:t>
      </w:r>
      <w:r w:rsidRPr="001111BA">
        <w:t>: gombaölő szerek biológiai hatásvizsgálatainak koordinálása; készítmény</w:t>
      </w:r>
      <w:r w:rsidR="00CD4F79">
        <w:t>ek</w:t>
      </w:r>
      <w:r w:rsidRPr="001111BA">
        <w:t xml:space="preserve"> értékelés</w:t>
      </w:r>
      <w:r w:rsidR="00CD4F79">
        <w:t>e</w:t>
      </w:r>
      <w:r w:rsidRPr="001111BA">
        <w:t xml:space="preserve"> (technológia), vizsgálóhelyek hatósági elismerése (GEP)</w:t>
      </w:r>
    </w:p>
    <w:p w:rsidR="00C277D6" w:rsidRPr="001111BA" w:rsidRDefault="00C277D6" w:rsidP="00C277D6">
      <w:pPr>
        <w:jc w:val="both"/>
      </w:pPr>
      <w:r w:rsidRPr="001111BA">
        <w:t xml:space="preserve">Elérhetősége: </w:t>
      </w:r>
      <w:hyperlink r:id="rId32" w:history="1">
        <w:r w:rsidRPr="001111BA">
          <w:rPr>
            <w:rStyle w:val="Hiperhivatkozs"/>
          </w:rPr>
          <w:t>PanczelM@nebih.gov.hu</w:t>
        </w:r>
      </w:hyperlink>
    </w:p>
    <w:p w:rsidR="004D57FC" w:rsidRPr="001111BA" w:rsidRDefault="004D57FC" w:rsidP="00C277D6">
      <w:pPr>
        <w:jc w:val="both"/>
        <w:rPr>
          <w:highlight w:val="yellow"/>
        </w:rPr>
      </w:pPr>
    </w:p>
    <w:p w:rsidR="004D57FC" w:rsidRPr="001111BA" w:rsidRDefault="004D57FC" w:rsidP="00C277D6">
      <w:pPr>
        <w:jc w:val="both"/>
      </w:pPr>
      <w:r w:rsidRPr="001111BA">
        <w:rPr>
          <w:i/>
        </w:rPr>
        <w:t>Dr. Ripka Géza</w:t>
      </w:r>
      <w:r w:rsidRPr="001111BA">
        <w:t xml:space="preserve">, </w:t>
      </w:r>
      <w:r w:rsidR="003F485E" w:rsidRPr="001111BA">
        <w:t xml:space="preserve">osztályvezető, </w:t>
      </w:r>
      <w:r w:rsidRPr="001111BA">
        <w:t xml:space="preserve">rovartani mérnökszakértő </w:t>
      </w:r>
    </w:p>
    <w:p w:rsidR="004D57FC" w:rsidRPr="001111BA" w:rsidRDefault="004D57FC" w:rsidP="00C277D6">
      <w:pPr>
        <w:jc w:val="both"/>
      </w:pPr>
      <w:r w:rsidRPr="001111BA">
        <w:rPr>
          <w:u w:val="single"/>
        </w:rPr>
        <w:t>Feladatköre</w:t>
      </w:r>
      <w:r w:rsidRPr="001111BA">
        <w:t>: rovar- és atkaölő szerekkel végzett biológiai hatásvizsgálatok koordinálása, vizsgálóhelyek hatósági elismerése (GEP)</w:t>
      </w:r>
      <w:r w:rsidR="00153F43" w:rsidRPr="001111BA">
        <w:t>, integrált védekezés</w:t>
      </w:r>
    </w:p>
    <w:p w:rsidR="004D57FC" w:rsidRPr="001111BA" w:rsidRDefault="004D57FC" w:rsidP="00C277D6">
      <w:pPr>
        <w:jc w:val="both"/>
      </w:pPr>
      <w:r w:rsidRPr="001111BA">
        <w:t xml:space="preserve">Elérhetősége: </w:t>
      </w:r>
      <w:hyperlink r:id="rId33" w:history="1">
        <w:r w:rsidRPr="001111BA">
          <w:rPr>
            <w:rStyle w:val="Hiperhivatkozs"/>
          </w:rPr>
          <w:t>RipkaG@nebih.gov.hu</w:t>
        </w:r>
      </w:hyperlink>
    </w:p>
    <w:p w:rsidR="00C714C8" w:rsidRPr="001111BA" w:rsidRDefault="00C714C8" w:rsidP="00C277D6">
      <w:pPr>
        <w:jc w:val="both"/>
        <w:rPr>
          <w:i/>
        </w:rPr>
      </w:pPr>
    </w:p>
    <w:p w:rsidR="004D57FC" w:rsidRPr="001111BA" w:rsidRDefault="00AF5CD4" w:rsidP="00C277D6">
      <w:pPr>
        <w:jc w:val="both"/>
      </w:pPr>
      <w:r w:rsidRPr="001111BA">
        <w:rPr>
          <w:i/>
        </w:rPr>
        <w:t xml:space="preserve">Dr. </w:t>
      </w:r>
      <w:r w:rsidR="004D57FC" w:rsidRPr="001111BA">
        <w:rPr>
          <w:i/>
        </w:rPr>
        <w:t xml:space="preserve">Szabóné Kükedi Gabriella, </w:t>
      </w:r>
      <w:r w:rsidRPr="001111BA">
        <w:t>növényvédelmi</w:t>
      </w:r>
      <w:r w:rsidR="004D57FC" w:rsidRPr="001111BA">
        <w:t xml:space="preserve"> mérnökszakértő</w:t>
      </w:r>
    </w:p>
    <w:p w:rsidR="004D57FC" w:rsidRPr="001111BA" w:rsidRDefault="004D57FC" w:rsidP="00C277D6">
      <w:pPr>
        <w:jc w:val="both"/>
      </w:pPr>
      <w:r w:rsidRPr="001111BA">
        <w:rPr>
          <w:u w:val="single"/>
        </w:rPr>
        <w:t>Feladatköre</w:t>
      </w:r>
      <w:r w:rsidRPr="001111BA">
        <w:t>: növényvédelmi előrejelzési feladatok koordinálása, kiskultúrás engedélyezés</w:t>
      </w:r>
    </w:p>
    <w:p w:rsidR="004D57FC" w:rsidRPr="001111BA" w:rsidRDefault="004D57FC" w:rsidP="00C277D6">
      <w:pPr>
        <w:jc w:val="both"/>
      </w:pPr>
      <w:r w:rsidRPr="001111BA">
        <w:t xml:space="preserve">Elérhetősége: </w:t>
      </w:r>
      <w:hyperlink r:id="rId34" w:history="1">
        <w:r w:rsidRPr="001111BA">
          <w:rPr>
            <w:rStyle w:val="Hiperhivatkozs"/>
          </w:rPr>
          <w:t>SzaboneG@nebih.gov.hu</w:t>
        </w:r>
      </w:hyperlink>
    </w:p>
    <w:p w:rsidR="008D2A1E" w:rsidRPr="001111BA" w:rsidRDefault="008D2A1E" w:rsidP="00C277D6">
      <w:pPr>
        <w:jc w:val="both"/>
        <w:rPr>
          <w:b/>
          <w:u w:val="single"/>
        </w:rPr>
      </w:pPr>
    </w:p>
    <w:p w:rsidR="00724221" w:rsidRPr="001111BA" w:rsidRDefault="00724221" w:rsidP="00C277D6">
      <w:pPr>
        <w:jc w:val="both"/>
        <w:rPr>
          <w:b/>
          <w:u w:val="single"/>
        </w:rPr>
      </w:pPr>
    </w:p>
    <w:p w:rsidR="00A71099" w:rsidRPr="001111BA" w:rsidRDefault="00A71099">
      <w:pPr>
        <w:rPr>
          <w:color w:val="000000"/>
          <w:highlight w:val="yellow"/>
        </w:rPr>
      </w:pPr>
      <w:r w:rsidRPr="001111BA">
        <w:rPr>
          <w:color w:val="000000"/>
          <w:highlight w:val="yellow"/>
        </w:rPr>
        <w:br w:type="page"/>
      </w:r>
    </w:p>
    <w:p w:rsidR="009C4E44" w:rsidRPr="001111BA" w:rsidRDefault="009C4E44" w:rsidP="009C4E44">
      <w:pPr>
        <w:jc w:val="both"/>
        <w:rPr>
          <w:color w:val="00000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889"/>
      </w:tblGrid>
      <w:tr w:rsidR="009C4E44" w:rsidRPr="001111BA" w:rsidTr="00F2165E">
        <w:tc>
          <w:tcPr>
            <w:tcW w:w="9889" w:type="dxa"/>
            <w:shd w:val="clear" w:color="auto" w:fill="C2D69B"/>
          </w:tcPr>
          <w:p w:rsidR="009C4E44" w:rsidRPr="001111BA" w:rsidRDefault="009C4E44" w:rsidP="00A1043E">
            <w:pPr>
              <w:numPr>
                <w:ilvl w:val="0"/>
                <w:numId w:val="4"/>
              </w:numPr>
              <w:jc w:val="center"/>
              <w:rPr>
                <w:b/>
                <w:i/>
                <w:u w:val="single"/>
              </w:rPr>
            </w:pPr>
            <w:r w:rsidRPr="001111BA">
              <w:rPr>
                <w:b/>
                <w:sz w:val="28"/>
                <w:szCs w:val="28"/>
                <w:u w:val="single"/>
              </w:rPr>
              <w:t xml:space="preserve">Az engedélyezési szakterület </w:t>
            </w:r>
            <w:r w:rsidR="00A1043E" w:rsidRPr="001111BA">
              <w:rPr>
                <w:b/>
                <w:sz w:val="28"/>
                <w:szCs w:val="28"/>
                <w:u w:val="single"/>
              </w:rPr>
              <w:t xml:space="preserve">jogszabályi és egyéb aktuális </w:t>
            </w:r>
            <w:r w:rsidRPr="001111BA">
              <w:rPr>
                <w:b/>
                <w:sz w:val="28"/>
                <w:szCs w:val="28"/>
                <w:u w:val="single"/>
              </w:rPr>
              <w:t>információi</w:t>
            </w:r>
          </w:p>
        </w:tc>
      </w:tr>
    </w:tbl>
    <w:p w:rsidR="009C4E44" w:rsidRPr="001111BA" w:rsidRDefault="009C4E44" w:rsidP="009C4E44">
      <w:pPr>
        <w:jc w:val="both"/>
        <w:rPr>
          <w:b/>
          <w:highlight w:val="yellow"/>
        </w:rPr>
      </w:pPr>
    </w:p>
    <w:p w:rsidR="003E321D" w:rsidRPr="001111BA" w:rsidRDefault="003E321D" w:rsidP="003E321D">
      <w:pPr>
        <w:jc w:val="both"/>
        <w:rPr>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3E321D" w:rsidRPr="001111BA" w:rsidTr="00554C28">
        <w:tc>
          <w:tcPr>
            <w:tcW w:w="9212" w:type="dxa"/>
            <w:shd w:val="clear" w:color="auto" w:fill="C2D69B"/>
          </w:tcPr>
          <w:p w:rsidR="003E321D" w:rsidRPr="001111BA" w:rsidRDefault="002C3E54" w:rsidP="00082497">
            <w:pPr>
              <w:pStyle w:val="Listaszerbekezds"/>
              <w:numPr>
                <w:ilvl w:val="1"/>
                <w:numId w:val="12"/>
              </w:numPr>
              <w:spacing w:after="0" w:line="240" w:lineRule="auto"/>
              <w:ind w:left="357" w:hanging="357"/>
              <w:jc w:val="both"/>
              <w:rPr>
                <w:rFonts w:ascii="Times New Roman" w:hAnsi="Times New Roman"/>
                <w:b/>
                <w:sz w:val="24"/>
                <w:szCs w:val="24"/>
              </w:rPr>
            </w:pPr>
            <w:r w:rsidRPr="001111BA">
              <w:rPr>
                <w:rFonts w:ascii="Times New Roman" w:hAnsi="Times New Roman"/>
                <w:b/>
                <w:sz w:val="24"/>
                <w:szCs w:val="24"/>
              </w:rPr>
              <w:t>Tájékoztató a készítmények zonális rendszer szerinti megújításáról (43. cikk)</w:t>
            </w:r>
          </w:p>
        </w:tc>
      </w:tr>
    </w:tbl>
    <w:p w:rsidR="00E31E34" w:rsidRPr="001111BA" w:rsidRDefault="00E31E34" w:rsidP="00E31E34">
      <w:pPr>
        <w:autoSpaceDE w:val="0"/>
        <w:autoSpaceDN w:val="0"/>
        <w:adjustRightInd w:val="0"/>
        <w:jc w:val="both"/>
      </w:pPr>
    </w:p>
    <w:p w:rsidR="002C3E54" w:rsidRPr="001111BA" w:rsidRDefault="002C3E54" w:rsidP="002C3E54">
      <w:pPr>
        <w:autoSpaceDE w:val="0"/>
        <w:autoSpaceDN w:val="0"/>
        <w:adjustRightInd w:val="0"/>
        <w:jc w:val="both"/>
      </w:pPr>
      <w:r w:rsidRPr="001111BA">
        <w:t xml:space="preserve">A hatóanyagok uniós szinten történő megújításának (Annex I Renewal) keretén belül az ún. AIR-2, AIR-3, AIR-4 hatóanyag-csoportok, továbbá a 1107/2009/EK rendelet szerint újként jóváhagyott hatóanyagok esetében a </w:t>
      </w:r>
      <w:r w:rsidRPr="001111BA">
        <w:rPr>
          <w:b/>
        </w:rPr>
        <w:t>készítmények engedélyeinek megújítása (újraengedélyezése) zonális szinten zajlik</w:t>
      </w:r>
      <w:r w:rsidRPr="001111BA">
        <w:t xml:space="preserve"> (1107/2009/EK rendelet </w:t>
      </w:r>
      <w:r w:rsidRPr="001111BA">
        <w:rPr>
          <w:b/>
        </w:rPr>
        <w:t>43. cikk</w:t>
      </w:r>
      <w:r w:rsidRPr="001111BA">
        <w:t xml:space="preserve"> (2) bekezdés).</w:t>
      </w:r>
    </w:p>
    <w:p w:rsidR="002C3E54" w:rsidRPr="001111BA" w:rsidRDefault="002C3E54" w:rsidP="002C3E54">
      <w:pPr>
        <w:autoSpaceDE w:val="0"/>
        <w:autoSpaceDN w:val="0"/>
        <w:adjustRightInd w:val="0"/>
        <w:jc w:val="both"/>
      </w:pPr>
    </w:p>
    <w:p w:rsidR="002C3E54" w:rsidRPr="001111BA" w:rsidRDefault="002C3E54" w:rsidP="002C3E54">
      <w:pPr>
        <w:autoSpaceDE w:val="0"/>
        <w:autoSpaceDN w:val="0"/>
        <w:adjustRightInd w:val="0"/>
        <w:jc w:val="both"/>
      </w:pPr>
      <w:r w:rsidRPr="001111BA">
        <w:t xml:space="preserve">A készítmények engedélyeinek megújítása hatóanyagonként történik, alapvetően a hatóanyagok megújításából származó új végpontok figyelembe vételével. A </w:t>
      </w:r>
      <w:r w:rsidRPr="001111BA">
        <w:rPr>
          <w:b/>
        </w:rPr>
        <w:t>hatóanyagok jóváhagyásának megújításától számított 3 hónapon belül</w:t>
      </w:r>
      <w:r w:rsidRPr="001111BA">
        <w:t xml:space="preserve"> a középső zónában az engedélyesnek </w:t>
      </w:r>
      <w:r w:rsidRPr="001111BA">
        <w:rPr>
          <w:b/>
        </w:rPr>
        <w:t>be kell nyújtania a kérelmet</w:t>
      </w:r>
      <w:r w:rsidRPr="001111BA">
        <w:t xml:space="preserve"> azon tagállamokhoz, ahol a készítmény már korábban engedélyt kapott. A választott/kijelölt tagállam (zRMS) elvégzi annak értékelését, a z</w:t>
      </w:r>
      <w:r w:rsidR="00B63C02">
        <w:t>ónán belüli többi tagállam, az ú</w:t>
      </w:r>
      <w:r w:rsidRPr="001111BA">
        <w:t>n. átvevő tagállam (cMS) pedig ez alapján dönt a nemzeti engedély megújításáról. Az értékelés és az átvétel összesen 9 hónapot vesz igénybe.</w:t>
      </w:r>
    </w:p>
    <w:p w:rsidR="002C3E54" w:rsidRPr="001111BA" w:rsidRDefault="002C3E54" w:rsidP="002C3E54">
      <w:pPr>
        <w:autoSpaceDE w:val="0"/>
        <w:autoSpaceDN w:val="0"/>
        <w:adjustRightInd w:val="0"/>
        <w:jc w:val="both"/>
      </w:pPr>
      <w:r w:rsidRPr="001111BA">
        <w:t xml:space="preserve">Amennyiben egy készítmény </w:t>
      </w:r>
      <w:r w:rsidRPr="001111BA">
        <w:rPr>
          <w:b/>
        </w:rPr>
        <w:t>két hatóanyagának jóváhagyásának megújítása 12 hónapon belül</w:t>
      </w:r>
      <w:r w:rsidRPr="001111BA">
        <w:t xml:space="preserve"> várható, akkor az </w:t>
      </w:r>
      <w:r w:rsidRPr="001111BA">
        <w:rPr>
          <w:b/>
        </w:rPr>
        <w:t>első hatóanyagra</w:t>
      </w:r>
      <w:r w:rsidRPr="001111BA">
        <w:t xml:space="preserve"> vonatkozó benyújtási határidőre kizárólag egy </w:t>
      </w:r>
      <w:r w:rsidRPr="001111BA">
        <w:rPr>
          <w:b/>
        </w:rPr>
        <w:t xml:space="preserve">szándéknyilatkozatot </w:t>
      </w:r>
      <w:r w:rsidRPr="001111BA">
        <w:t>kérünk benyújtani, külön dosszié (dRR) benyújtása ekkor még nem szükséges. A teljes dokumentációt, – mely tartalmazza a mindkét hatóanyagra vonatkozó kockázatértékelést – csak a második hatóanyag megújítását követően kérjük benyújtani.</w:t>
      </w:r>
    </w:p>
    <w:p w:rsidR="002C3E54" w:rsidRPr="001111BA" w:rsidRDefault="002C3E54" w:rsidP="002C3E54">
      <w:pPr>
        <w:pStyle w:val="Default"/>
        <w:jc w:val="both"/>
      </w:pPr>
    </w:p>
    <w:p w:rsidR="002C3E54" w:rsidRPr="001111BA" w:rsidRDefault="002C3E54" w:rsidP="002C3E54">
      <w:pPr>
        <w:autoSpaceDE w:val="0"/>
        <w:autoSpaceDN w:val="0"/>
        <w:adjustRightInd w:val="0"/>
        <w:jc w:val="both"/>
      </w:pPr>
      <w:r w:rsidRPr="001111BA">
        <w:t>A hatóanyagok megújításáról szóló döntés kihirdetését követően a hazai engedélyező hatóság minden engedélyesnek kiküldi az eljárás megindításáról szóló felszólító levelet.</w:t>
      </w:r>
    </w:p>
    <w:p w:rsidR="002C3E54" w:rsidRPr="001111BA" w:rsidRDefault="002C3E54" w:rsidP="002C3E54">
      <w:pPr>
        <w:jc w:val="both"/>
      </w:pPr>
    </w:p>
    <w:p w:rsidR="002C3E54" w:rsidRPr="001111BA" w:rsidRDefault="002C3E54" w:rsidP="002C3E54">
      <w:pPr>
        <w:jc w:val="both"/>
      </w:pPr>
      <w:r w:rsidRPr="001111BA">
        <w:t xml:space="preserve">Az engedélyező hatóság a hatóanyag megfelelőségi felülvizsgálatát </w:t>
      </w:r>
      <w:r w:rsidRPr="001111BA">
        <w:rPr>
          <w:i/>
        </w:rPr>
        <w:t>(jelenlegi step 1)</w:t>
      </w:r>
      <w:r w:rsidRPr="001111BA">
        <w:t xml:space="preserve"> nem különíti el a készítmény felülvizsgálatától </w:t>
      </w:r>
      <w:r w:rsidRPr="001111BA">
        <w:rPr>
          <w:i/>
        </w:rPr>
        <w:t>(jelenlegi step 2)</w:t>
      </w:r>
      <w:r w:rsidRPr="001111BA">
        <w:t>, azonban a hatóanyagokra vonatkozó követelmények teljesülését a készítmény-dossziéban bizonyítani kell. A készítmény megújításának tehát alapfeltétele a hatóanyag megújítása során megállapított új végpontoknak és a megváltozott adatkövetelményeknek való megfelelés. Továbbá feltétel még a hatóanyag megújításához benyújtott és szükséges új adatok védelmének az igazolása a benyújtáskor aktuális útmutatók alapján.</w:t>
      </w:r>
    </w:p>
    <w:p w:rsidR="002C3E54" w:rsidRPr="001111BA" w:rsidRDefault="002C3E54" w:rsidP="002C3E54">
      <w:pPr>
        <w:jc w:val="both"/>
      </w:pPr>
    </w:p>
    <w:p w:rsidR="002C3E54" w:rsidRPr="001111BA" w:rsidRDefault="002C3E54" w:rsidP="002C3E54">
      <w:pPr>
        <w:jc w:val="both"/>
      </w:pPr>
      <w:r w:rsidRPr="001111BA">
        <w:t xml:space="preserve">A készítmények engedélyeinek megújítási folyamatáról a </w:t>
      </w:r>
      <w:hyperlink r:id="rId35" w:history="1">
        <w:r w:rsidRPr="001111BA">
          <w:rPr>
            <w:rStyle w:val="Hiperhivatkozs"/>
            <w:b/>
          </w:rPr>
          <w:t>SANCO 13170/2010 útmutató</w:t>
        </w:r>
        <w:r w:rsidRPr="001111BA">
          <w:rPr>
            <w:rStyle w:val="Hiperhivatkozs"/>
          </w:rPr>
          <w:t xml:space="preserve"> aktuális (13.) változata</w:t>
        </w:r>
      </w:hyperlink>
      <w:r w:rsidRPr="001111BA">
        <w:t xml:space="preserve"> ad bővebb tájékoztatást. </w:t>
      </w:r>
    </w:p>
    <w:p w:rsidR="002C3E54" w:rsidRPr="001111BA" w:rsidRDefault="002C3E54" w:rsidP="002C3E54">
      <w:pPr>
        <w:jc w:val="both"/>
      </w:pPr>
    </w:p>
    <w:p w:rsidR="002C3E54" w:rsidRPr="001111BA" w:rsidRDefault="002C3E54" w:rsidP="002C3E54">
      <w:pPr>
        <w:jc w:val="both"/>
        <w:rPr>
          <w:i/>
        </w:rPr>
      </w:pPr>
      <w:r w:rsidRPr="001111BA">
        <w:t>Alább összefoglaltuk a fontosabb tudnivalókat, melye</w:t>
      </w:r>
      <w:r w:rsidR="00CD4F79">
        <w:t>ke</w:t>
      </w:r>
      <w:r w:rsidRPr="001111BA">
        <w:t xml:space="preserve">t kérünk a benyújtás alkalmával figyelembe venni. </w:t>
      </w:r>
      <w:r w:rsidRPr="001111BA">
        <w:rPr>
          <w:b/>
          <w:i/>
        </w:rPr>
        <w:t>Részletekbe menő „Gyakori kérdések” dokumentumot a NÉBIH új honlapján fogunk megjeleníteni, a tagállamokkal történő tárgyalások befejezését követően. Erről értesíteni fogjuk a kérelmezőket.</w:t>
      </w:r>
    </w:p>
    <w:p w:rsidR="002C3E54" w:rsidRPr="001111BA" w:rsidRDefault="002C3E54" w:rsidP="002C3E54">
      <w:pPr>
        <w:jc w:val="both"/>
      </w:pPr>
    </w:p>
    <w:p w:rsidR="002C3E54" w:rsidRPr="001111BA" w:rsidRDefault="002C3E54" w:rsidP="002C3E54">
      <w:pPr>
        <w:jc w:val="both"/>
        <w:rPr>
          <w:i/>
          <w:u w:val="single"/>
        </w:rPr>
      </w:pPr>
      <w:r w:rsidRPr="001111BA">
        <w:rPr>
          <w:i/>
          <w:u w:val="single"/>
        </w:rPr>
        <w:t>A készítmény megújításra történő előzetes bejelentése (notifikáció):</w:t>
      </w:r>
    </w:p>
    <w:p w:rsidR="002C3E54" w:rsidRPr="001111BA" w:rsidRDefault="002C3E54" w:rsidP="002C3E54">
      <w:pPr>
        <w:jc w:val="both"/>
        <w:rPr>
          <w:i/>
        </w:rPr>
      </w:pPr>
    </w:p>
    <w:p w:rsidR="002C3E54" w:rsidRPr="001111BA" w:rsidRDefault="002C3E54" w:rsidP="002C3E54">
      <w:pPr>
        <w:jc w:val="both"/>
      </w:pPr>
      <w:r w:rsidRPr="001111BA">
        <w:t xml:space="preserve">A zonális értékelés tervezhetőségének érdekében, az engedélytulajdonosoknak már a hatóanyag megújítási folyamata során mielőbb célszerű jelezniük a választott értékelő tagállamoknál (zRMS), hogy mely készítmény engedélyét kívánják megújítani. Ehhez </w:t>
      </w:r>
      <w:r w:rsidR="00B63C02">
        <w:t>készült egy formanyomtatvány (ú</w:t>
      </w:r>
      <w:r w:rsidRPr="001111BA">
        <w:t xml:space="preserve">n. notifikációs űrlap), melyet a </w:t>
      </w:r>
      <w:hyperlink r:id="rId36" w:history="1">
        <w:r w:rsidRPr="001111BA">
          <w:rPr>
            <w:rStyle w:val="Hiperhivatkozs"/>
          </w:rPr>
          <w:t>SANCO/12544/2014. útmutató</w:t>
        </w:r>
      </w:hyperlink>
      <w:r w:rsidRPr="001111BA">
        <w:t xml:space="preserve"> tartalmaz. </w:t>
      </w:r>
    </w:p>
    <w:p w:rsidR="002C3E54" w:rsidRPr="001111BA" w:rsidRDefault="002C3E54" w:rsidP="002C3E54">
      <w:pPr>
        <w:jc w:val="both"/>
        <w:rPr>
          <w:lang w:eastAsia="el-GR"/>
        </w:rPr>
      </w:pPr>
      <w:r w:rsidRPr="001111BA">
        <w:t xml:space="preserve">A hatóanyag megújításáról szóló </w:t>
      </w:r>
      <w:r w:rsidRPr="001111BA">
        <w:rPr>
          <w:rFonts w:cs="Arial"/>
          <w:b/>
          <w:bCs/>
          <w:kern w:val="32"/>
          <w:szCs w:val="32"/>
          <w:lang w:eastAsia="el-GR"/>
        </w:rPr>
        <w:t>EFSA-vélemény</w:t>
      </w:r>
      <w:r w:rsidRPr="001111BA">
        <w:rPr>
          <w:b/>
          <w:lang w:eastAsia="el-GR"/>
        </w:rPr>
        <w:t xml:space="preserve"> nyilvánosságra hozatalát követő két hónapon belül</w:t>
      </w:r>
      <w:r w:rsidRPr="001111BA">
        <w:rPr>
          <w:lang w:eastAsia="el-GR"/>
        </w:rPr>
        <w:t xml:space="preserve"> a készítmény engedélytulajdonosának be kell nyújtani ezt a notifikációs űrlapot. A könnyebb tervezhetőség érdekében a bejelentésnek ebben a fázisában meg kell jelölni az értékelő (zRMS) és a további átvevő (cMS) tagállamokat. Amennyiben Magyarországot választják zRMS-nek, kérjük, </w:t>
      </w:r>
      <w:r w:rsidRPr="001111BA">
        <w:rPr>
          <w:lang w:eastAsia="el-GR"/>
        </w:rPr>
        <w:lastRenderedPageBreak/>
        <w:t>hogy a szükséges kockázatértékelésről, és adathozzáférésről (amennyiben a készítmény engedélytulajdonosa eltér a hatóanyag dokumentáció tulajdonosától) előzetesen egyeztessenek hatóságunkkal.</w:t>
      </w:r>
    </w:p>
    <w:p w:rsidR="002C3E54" w:rsidRPr="001111BA" w:rsidRDefault="002C3E54" w:rsidP="002C3E54">
      <w:pPr>
        <w:rPr>
          <w:rFonts w:cs="Arial"/>
          <w:b/>
          <w:bCs/>
          <w:kern w:val="32"/>
          <w:szCs w:val="32"/>
          <w:lang w:eastAsia="el-GR"/>
        </w:rPr>
      </w:pPr>
    </w:p>
    <w:p w:rsidR="002C3E54" w:rsidRPr="001111BA" w:rsidRDefault="002C3E54" w:rsidP="002C3E54">
      <w:pPr>
        <w:jc w:val="both"/>
        <w:rPr>
          <w:lang w:eastAsia="el-GR"/>
        </w:rPr>
      </w:pPr>
      <w:r w:rsidRPr="001111BA">
        <w:rPr>
          <w:lang w:eastAsia="el-GR"/>
        </w:rPr>
        <w:t xml:space="preserve">Mivel a készítmények adatvédelme nemzeti szinten kerül megállapításra, a hatóanyag referencia-listája hasznos, de nem elegendő eszköz a nemzeti szintű adatvédelem megállapításához. Az adatvédelem igényléséhez, illetve biztosításához a </w:t>
      </w:r>
      <w:hyperlink r:id="rId37" w:history="1">
        <w:r w:rsidRPr="001111BA">
          <w:rPr>
            <w:rStyle w:val="Hiperhivatkozs"/>
            <w:b/>
            <w:lang w:eastAsia="el-GR"/>
          </w:rPr>
          <w:t>SANCO 12576/2012</w:t>
        </w:r>
        <w:r w:rsidRPr="001111BA">
          <w:rPr>
            <w:rStyle w:val="Hiperhivatkozs"/>
            <w:lang w:eastAsia="el-GR"/>
          </w:rPr>
          <w:t xml:space="preserve"> adatvédelmi útmutató</w:t>
        </w:r>
      </w:hyperlink>
      <w:r w:rsidRPr="001111BA">
        <w:rPr>
          <w:lang w:eastAsia="el-GR"/>
        </w:rPr>
        <w:t xml:space="preserve"> és a </w:t>
      </w:r>
      <w:hyperlink r:id="rId38" w:history="1">
        <w:r w:rsidRPr="001111BA">
          <w:rPr>
            <w:rStyle w:val="Hiperhivatkozs"/>
            <w:lang w:eastAsia="el-GR"/>
          </w:rPr>
          <w:t xml:space="preserve">referencia lista elkészítéséről szóló </w:t>
        </w:r>
        <w:r w:rsidRPr="001111BA">
          <w:rPr>
            <w:rStyle w:val="Hiperhivatkozs"/>
            <w:b/>
            <w:lang w:eastAsia="el-GR"/>
          </w:rPr>
          <w:t>SANCO 12580/2012</w:t>
        </w:r>
        <w:r w:rsidRPr="001111BA">
          <w:rPr>
            <w:rStyle w:val="Hiperhivatkozs"/>
            <w:lang w:eastAsia="el-GR"/>
          </w:rPr>
          <w:t xml:space="preserve"> útmutató</w:t>
        </w:r>
      </w:hyperlink>
      <w:r w:rsidRPr="001111BA">
        <w:rPr>
          <w:lang w:eastAsia="el-GR"/>
        </w:rPr>
        <w:t xml:space="preserve"> ad segítséget. A készítmények megújításához szükséges új vizsgálatokra 30 hónap adatvédelem adható. </w:t>
      </w:r>
    </w:p>
    <w:p w:rsidR="002C3E54" w:rsidRPr="001111BA" w:rsidRDefault="002C3E54" w:rsidP="002C3E54">
      <w:pPr>
        <w:jc w:val="both"/>
        <w:rPr>
          <w:b/>
          <w:i/>
          <w:lang w:eastAsia="el-GR"/>
        </w:rPr>
      </w:pPr>
    </w:p>
    <w:p w:rsidR="002C3E54" w:rsidRPr="001111BA" w:rsidRDefault="002C3E54" w:rsidP="002C3E54">
      <w:pPr>
        <w:jc w:val="both"/>
        <w:rPr>
          <w:i/>
          <w:u w:val="single"/>
          <w:lang w:eastAsia="el-GR"/>
        </w:rPr>
      </w:pPr>
      <w:r w:rsidRPr="001111BA">
        <w:rPr>
          <w:i/>
          <w:u w:val="single"/>
          <w:lang w:eastAsia="el-GR"/>
        </w:rPr>
        <w:t>A készítmény-dosszié (dRR - draft Registration Report) benyújtása:</w:t>
      </w:r>
    </w:p>
    <w:p w:rsidR="002C3E54" w:rsidRPr="001111BA" w:rsidRDefault="002C3E54" w:rsidP="002C3E54">
      <w:pPr>
        <w:jc w:val="both"/>
        <w:rPr>
          <w:i/>
          <w:lang w:eastAsia="el-GR"/>
        </w:rPr>
      </w:pPr>
    </w:p>
    <w:p w:rsidR="002C3E54" w:rsidRPr="001111BA" w:rsidRDefault="002C3E54" w:rsidP="002C3E54">
      <w:pPr>
        <w:jc w:val="both"/>
      </w:pPr>
      <w:r w:rsidRPr="001111BA">
        <w:t>A készítmény megújítási kérelemnek tartalmaznia kell alapvetően a megújítási útmutatóban megjelölt információkat</w:t>
      </w:r>
      <w:r w:rsidRPr="001111BA">
        <w:rPr>
          <w:b/>
        </w:rPr>
        <w:t>. Minden adatot elektronikus formában kérünk benyújtani. Kizárólag a kérelem és az esetleges adathozzáférési nyilatkozat (Letter of Access) lehet papír alapú.</w:t>
      </w:r>
    </w:p>
    <w:p w:rsidR="002C3E54" w:rsidRPr="001111BA" w:rsidRDefault="002C3E54" w:rsidP="002C3E54">
      <w:pPr>
        <w:jc w:val="both"/>
      </w:pPr>
    </w:p>
    <w:p w:rsidR="002C3E54" w:rsidRPr="001111BA" w:rsidRDefault="002C3E54" w:rsidP="002C3E54">
      <w:pPr>
        <w:jc w:val="both"/>
      </w:pPr>
      <w:r w:rsidRPr="001111BA">
        <w:t>Annak érdekében, hogy az újraengedélyezett készítmények engedélye megfeleljen a 1107/2009/EK rendelet követelményeinek, hatóságunk kéri, hogy az egyes készítmények dossziéját az engedélyezési jelentéstervezet (dRR)</w:t>
      </w:r>
      <w:r w:rsidRPr="001111BA" w:rsidDel="002B2CB9">
        <w:t xml:space="preserve"> </w:t>
      </w:r>
      <w:r w:rsidRPr="001111BA">
        <w:t xml:space="preserve">formátumnak megfelelően nyújtsák be, amelyet a </w:t>
      </w:r>
      <w:r w:rsidRPr="001111BA">
        <w:rPr>
          <w:b/>
        </w:rPr>
        <w:t>SANCO/6895/2009</w:t>
      </w:r>
      <w:r w:rsidRPr="001111BA">
        <w:t xml:space="preserve"> </w:t>
      </w:r>
      <w:r w:rsidRPr="001111BA">
        <w:rPr>
          <w:b/>
        </w:rPr>
        <w:t>számú útmutató</w:t>
      </w:r>
      <w:r w:rsidRPr="001111BA">
        <w:t xml:space="preserve"> tartalmaz. </w:t>
      </w:r>
      <w:r w:rsidRPr="001111BA">
        <w:rPr>
          <w:i/>
        </w:rPr>
        <w:t>A zonális értékeléshez és nemzeti átvételhez korábban készült OECD-formátumban benyújtott készítmény-dossziékat nem fogadunk el!</w:t>
      </w:r>
      <w:r w:rsidRPr="001111BA">
        <w:t xml:space="preserve"> </w:t>
      </w:r>
    </w:p>
    <w:p w:rsidR="002C3E54" w:rsidRPr="001111BA" w:rsidRDefault="002C3E54" w:rsidP="002C3E54">
      <w:pPr>
        <w:jc w:val="both"/>
      </w:pPr>
      <w:r w:rsidRPr="001111BA">
        <w:t xml:space="preserve">Kérjük, hogy a dRR formátumú dossziéban a könnyebb átláthatóság érdekében, a régi (OECD) dossziéban szereplő – a már esetlegesen egy másik tagállam által leértékelt – adatokat másolják át és a készítmény megújításához szükséges </w:t>
      </w:r>
      <w:r w:rsidRPr="001111BA">
        <w:rPr>
          <w:b/>
        </w:rPr>
        <w:t>új végpontok szerinti frissített adatokat és kockázatértékeléseket sárga hátterű kiemeléssel különítsék el</w:t>
      </w:r>
      <w:r w:rsidRPr="001111BA">
        <w:t>.</w:t>
      </w:r>
    </w:p>
    <w:p w:rsidR="002C3E54" w:rsidRPr="001111BA" w:rsidRDefault="002C3E54" w:rsidP="002C3E54">
      <w:pPr>
        <w:jc w:val="both"/>
      </w:pPr>
    </w:p>
    <w:p w:rsidR="002C3E54" w:rsidRPr="001111BA" w:rsidRDefault="002C3E54" w:rsidP="002C3E54">
      <w:pPr>
        <w:jc w:val="both"/>
      </w:pPr>
      <w:r w:rsidRPr="001111BA">
        <w:t xml:space="preserve">Az engedélyező hatóság </w:t>
      </w:r>
      <w:r w:rsidRPr="001111BA">
        <w:rPr>
          <w:i/>
        </w:rPr>
        <w:t xml:space="preserve">meghatározott vizsgálatokra </w:t>
      </w:r>
      <w:r w:rsidRPr="001111BA">
        <w:rPr>
          <w:b/>
          <w:i/>
        </w:rPr>
        <w:t>mentességet biztosít</w:t>
      </w:r>
      <w:r w:rsidRPr="001111BA">
        <w:t xml:space="preserve"> a három hónapon belül történő </w:t>
      </w:r>
      <w:r w:rsidRPr="001111BA">
        <w:rPr>
          <w:b/>
        </w:rPr>
        <w:t>adatbenyújtási határidő alól</w:t>
      </w:r>
      <w:r w:rsidRPr="001111BA">
        <w:t xml:space="preserve">. Ezek olyan követelmények (EFSA által igényelt adathiány, megerősítő adatok hiánya, új végpontokra vonatkozó vizsgálatok elvégzése, új adatszolgáltatásra vagy új útmutatókra vonatkozó adatok), melyek nem teljesíthetők három hónapon belül, ezért azok benyújtására a tagállamok a hatóanyag megújításának jóváhagyásától számítva 2 év haladékot adnak. Ezeket a zRMS-nek a tényleges benyújtást követő 6 hónapon belül értékelni kell, majd azt az átvevő tagállamok jóváhagyják. </w:t>
      </w:r>
    </w:p>
    <w:p w:rsidR="002C3E54" w:rsidRPr="001111BA" w:rsidRDefault="002C3E54" w:rsidP="002C3E54">
      <w:pPr>
        <w:jc w:val="both"/>
      </w:pPr>
      <w:r w:rsidRPr="001111BA">
        <w:t>Amennyiben a fenti eset áll fenn, kérjük</w:t>
      </w:r>
      <w:r w:rsidR="00CD4F79">
        <w:t>,</w:t>
      </w:r>
      <w:r w:rsidRPr="001111BA">
        <w:t xml:space="preserve"> hogy ezt lehetőleg már a notifikációs formanyomtatványban jelezzék. Az „óramegállításról”, annak elfogadhatóságáról a zRMS fog dönteni és tájékoztatja az érintett tagállamokat.</w:t>
      </w:r>
    </w:p>
    <w:p w:rsidR="002C3E54" w:rsidRPr="001111BA" w:rsidRDefault="002C3E54" w:rsidP="002C3E54">
      <w:pPr>
        <w:jc w:val="both"/>
      </w:pPr>
    </w:p>
    <w:p w:rsidR="002C3E54" w:rsidRPr="001111BA" w:rsidRDefault="002C3E54" w:rsidP="002C3E54">
      <w:pPr>
        <w:jc w:val="both"/>
      </w:pPr>
      <w:r w:rsidRPr="001111BA">
        <w:rPr>
          <w:b/>
        </w:rPr>
        <w:t>A készítmény megújításakor</w:t>
      </w:r>
      <w:r w:rsidRPr="001111BA">
        <w:t xml:space="preserve"> </w:t>
      </w:r>
      <w:r w:rsidRPr="001111BA">
        <w:rPr>
          <w:b/>
        </w:rPr>
        <w:t xml:space="preserve">alapvetően nem változtatható meg az engedélyezett </w:t>
      </w:r>
      <w:r w:rsidR="00B63C02">
        <w:rPr>
          <w:b/>
        </w:rPr>
        <w:t xml:space="preserve">felhasználások köre </w:t>
      </w:r>
      <w:r w:rsidRPr="001111BA">
        <w:t xml:space="preserve">(Good Agricultural Practice). A jelenleg engedélyezetthez képest az új felhasználást a 1107/2009/EK rendelet 33. vagy 40. cikkének megfelelően zonálisan kell engedélyeztetni, a kiskultúrás kiterjesztés pedig az 51. cikk szerint kérelmezhető. Új felhasználási módnak számít pl. a kultúra, vagy károsító kiterjesztés, de nem tartozik bele a kultúrnövény fenológiai stádiumának finomítása (lényeges eltérés már nem elfogadható), dóziscsökkentés, vagy kultúratörlés (hatóanyag új végpontja miatt). </w:t>
      </w:r>
    </w:p>
    <w:p w:rsidR="002C3E54" w:rsidRPr="001111BA" w:rsidRDefault="002C3E54" w:rsidP="002C3E54">
      <w:pPr>
        <w:jc w:val="both"/>
        <w:rPr>
          <w:i/>
        </w:rPr>
      </w:pPr>
      <w:r w:rsidRPr="001111BA">
        <w:rPr>
          <w:i/>
        </w:rPr>
        <w:t xml:space="preserve">A megújítás során a jelenleg engedélyezetthez képest új felhasználási mód (GAP) kizárólag abban az esetben elfogadható – a megújult hatóanyag végpontok miatti dóziscsökkentésen kívül -, amennyiben hatóságunk a korábbi engedély-felülvizsgálatot (step 2) még nem végezte el, és a régebben benyújtott dokumentáció már tartalmazza az esetleges kultúra-kiterjesztést. (Ebben az esetben a dokumentációnak tartalmaznia kell a kísérleti eredményeket is.) </w:t>
      </w:r>
    </w:p>
    <w:p w:rsidR="002C3E54" w:rsidRPr="001111BA" w:rsidRDefault="002C3E54" w:rsidP="002C3E54">
      <w:pPr>
        <w:jc w:val="both"/>
      </w:pPr>
      <w:r w:rsidRPr="001111BA">
        <w:t xml:space="preserve">Amennyiben az </w:t>
      </w:r>
      <w:r w:rsidRPr="001111BA">
        <w:rPr>
          <w:b/>
        </w:rPr>
        <w:t>új hatóanyag-végpontok miatt dóziscsökkentés történik</w:t>
      </w:r>
      <w:r w:rsidRPr="001111BA">
        <w:t xml:space="preserve">, azt kérjük </w:t>
      </w:r>
      <w:r w:rsidRPr="001111BA">
        <w:rPr>
          <w:b/>
        </w:rPr>
        <w:t xml:space="preserve">hatékonysági vizsgálatokkal alátámasztani </w:t>
      </w:r>
      <w:r w:rsidRPr="001111BA">
        <w:t xml:space="preserve">és biológiai értékelő dossziét (BAD) benyújtani. </w:t>
      </w:r>
    </w:p>
    <w:p w:rsidR="002C3E54" w:rsidRPr="001111BA" w:rsidRDefault="002C3E54" w:rsidP="002C3E54">
      <w:pPr>
        <w:jc w:val="both"/>
      </w:pPr>
      <w:r w:rsidRPr="001111BA">
        <w:lastRenderedPageBreak/>
        <w:t>Amennyiben a GAP nem változik, a BAD benyújtása nem szükséges. Ebben az esetben a dRR, B rész, 7. fejezetében (biológiai hatékonyság) a hatékonyság részletes értékelése nem követelmény, kizárólag egy „összefoglaló eredmények” leírása szükséges a készítmények hatékonyságára vonatkozóan</w:t>
      </w:r>
      <w:r w:rsidRPr="001111BA">
        <w:rPr>
          <w:i/>
        </w:rPr>
        <w:t>.</w:t>
      </w:r>
      <w:r w:rsidRPr="001111BA">
        <w:t xml:space="preserve"> Továbbiakban a 7. fejezetnek tartalmaznia kell egy frissített rezisztenciaelemzést is.</w:t>
      </w:r>
    </w:p>
    <w:p w:rsidR="002C3E54" w:rsidRPr="001111BA" w:rsidRDefault="002C3E54" w:rsidP="002C3E54">
      <w:pPr>
        <w:jc w:val="both"/>
      </w:pPr>
    </w:p>
    <w:p w:rsidR="002C3E54" w:rsidRPr="001111BA" w:rsidRDefault="002C3E54" w:rsidP="002C3E54">
      <w:pPr>
        <w:jc w:val="both"/>
      </w:pPr>
      <w:r w:rsidRPr="001111BA">
        <w:t xml:space="preserve">Felhívjuk a figyelmet, hogy amennyiben Magyarország átvevő tagállam (cMS), kizárólag az értékelő (zRMS) által leértékelt dokumentáció alapján tudjuk megújítani a készítményt, ezért kérjük, hogy már a dRR benyújtásakor erre legyenek figyelemmel. Azaz a </w:t>
      </w:r>
      <w:r w:rsidRPr="001111BA">
        <w:rPr>
          <w:b/>
        </w:rPr>
        <w:t xml:space="preserve">dRR-nek egyértelműen tartalmaznia kell a Magyarországra vonatkozó </w:t>
      </w:r>
      <w:r w:rsidR="00B63C02">
        <w:rPr>
          <w:b/>
        </w:rPr>
        <w:t xml:space="preserve">pontos </w:t>
      </w:r>
      <w:r w:rsidRPr="001111BA">
        <w:rPr>
          <w:b/>
        </w:rPr>
        <w:t>felhasználás</w:t>
      </w:r>
      <w:r w:rsidR="00B63C02">
        <w:rPr>
          <w:b/>
        </w:rPr>
        <w:t>okat</w:t>
      </w:r>
      <w:r w:rsidRPr="001111BA">
        <w:rPr>
          <w:b/>
        </w:rPr>
        <w:t xml:space="preserve">. </w:t>
      </w:r>
      <w:r w:rsidRPr="001111BA">
        <w:t xml:space="preserve">Egy kizárólag általános – középső zónára vonatkozó – GAP táblázat nem elfogadható. </w:t>
      </w:r>
      <w:r w:rsidRPr="001111BA">
        <w:rPr>
          <w:b/>
        </w:rPr>
        <w:t>Kérjük, hogy amennyiben a készítmény kiskultúrás felhasználásra is engedélyezett, ezt a GAP táblázatban szintén tüntessék fel. A kockázatér</w:t>
      </w:r>
      <w:r w:rsidR="00B63C02">
        <w:rPr>
          <w:b/>
        </w:rPr>
        <w:t>t</w:t>
      </w:r>
      <w:r w:rsidRPr="001111BA">
        <w:rPr>
          <w:b/>
        </w:rPr>
        <w:t>ékelésnek a kiskultúrás felhasználási módokat is le kell fednie!</w:t>
      </w:r>
    </w:p>
    <w:p w:rsidR="002C3E54" w:rsidRPr="001111BA" w:rsidRDefault="002C3E54" w:rsidP="002C3E54">
      <w:pPr>
        <w:jc w:val="both"/>
      </w:pPr>
      <w:r w:rsidRPr="001111BA">
        <w:t>Ezen kívül, amennyiben a készítmény kizárólag Magyarországon engedélyezett légi úton történő kijuttatásra és azt továbbra is szeretnék megtartani, akkor az erre vonatkozó kockázatértékelést a nemzeti mellékletben kérjük kifejteni és erre a kérelemben is hivatkozni.</w:t>
      </w:r>
    </w:p>
    <w:p w:rsidR="002C3E54" w:rsidRPr="001111BA" w:rsidRDefault="002C3E54" w:rsidP="002C3E54">
      <w:pPr>
        <w:jc w:val="both"/>
      </w:pPr>
    </w:p>
    <w:p w:rsidR="002C3E54" w:rsidRPr="001111BA" w:rsidRDefault="002C3E54" w:rsidP="002C3E54">
      <w:pPr>
        <w:jc w:val="both"/>
      </w:pPr>
      <w:r w:rsidRPr="001111BA">
        <w:t>Szintén megjegyzendő, hogy csupán a készítmények nem-szignifikáns összetétel-változtatásai fogadhatók el a megújítás során (a SANCO 12638/2011 útmutató alapján) nemzeti szinten.</w:t>
      </w:r>
    </w:p>
    <w:p w:rsidR="002C3E54" w:rsidRPr="001111BA" w:rsidRDefault="002C3E54" w:rsidP="002C3E54">
      <w:pPr>
        <w:jc w:val="both"/>
      </w:pPr>
    </w:p>
    <w:p w:rsidR="002C3E54" w:rsidRPr="001111BA" w:rsidRDefault="002C3E54" w:rsidP="002C3E54">
      <w:pPr>
        <w:jc w:val="both"/>
        <w:rPr>
          <w:i/>
        </w:rPr>
      </w:pPr>
      <w:r w:rsidRPr="001111BA">
        <w:rPr>
          <w:i/>
          <w:u w:val="single"/>
        </w:rPr>
        <w:t>Megújítási kérelem hiánya:</w:t>
      </w:r>
    </w:p>
    <w:p w:rsidR="002C3E54" w:rsidRPr="001111BA" w:rsidRDefault="002C3E54" w:rsidP="002C3E54">
      <w:pPr>
        <w:jc w:val="both"/>
        <w:rPr>
          <w:i/>
        </w:rPr>
      </w:pPr>
    </w:p>
    <w:p w:rsidR="002C3E54" w:rsidRPr="001111BA" w:rsidRDefault="002C3E54" w:rsidP="002C3E54">
      <w:pPr>
        <w:jc w:val="both"/>
      </w:pPr>
      <w:r w:rsidRPr="001111BA">
        <w:t xml:space="preserve">Amennyiben az engedélyes </w:t>
      </w:r>
      <w:r w:rsidRPr="001111BA">
        <w:rPr>
          <w:b/>
        </w:rPr>
        <w:t>elmulasztja</w:t>
      </w:r>
      <w:r w:rsidRPr="001111BA">
        <w:t xml:space="preserve"> a hatóanyag megújítását követően 3 hónapon belül a készítmény engedélyének a </w:t>
      </w:r>
      <w:r w:rsidRPr="001111BA">
        <w:rPr>
          <w:b/>
        </w:rPr>
        <w:t>megújítását kérelmezni</w:t>
      </w:r>
      <w:r w:rsidRPr="001111BA">
        <w:t xml:space="preserve">, akkor az engedély érvényessége </w:t>
      </w:r>
      <w:r w:rsidRPr="001111BA">
        <w:rPr>
          <w:b/>
        </w:rPr>
        <w:t>a hatóanyag eredeti jóváhagyási idejétől számított 1 évnél tovább (Annex I + 1 év) nem hosszabbítható</w:t>
      </w:r>
      <w:r w:rsidRPr="001111BA">
        <w:t xml:space="preserve"> és azt a 1107/2009/EK Rendelet 44. cikk (3) bekezdésének megfelelően </w:t>
      </w:r>
      <w:r w:rsidRPr="001111BA">
        <w:rPr>
          <w:b/>
        </w:rPr>
        <w:t>vissza kell vonni</w:t>
      </w:r>
      <w:r w:rsidRPr="001111BA">
        <w:t>, a 46. cikknek megfelelő türelmi idő biztosítása mellett.</w:t>
      </w:r>
    </w:p>
    <w:p w:rsidR="002C3E54" w:rsidRPr="001111BA" w:rsidRDefault="002C3E54" w:rsidP="002C3E54">
      <w:pPr>
        <w:ind w:firstLine="11"/>
        <w:jc w:val="both"/>
      </w:pPr>
      <w:r w:rsidRPr="001111BA">
        <w:t xml:space="preserve">Kérjük az engedélytulajdonosok mielőbbi visszajelzését, amennyiben a megújítás alá eső terméket nem kívánja tovább forgalmazni, vagy ha a fenti adatszolgáltatási kötelezettségeknek nem tud eleget tenni. </w:t>
      </w:r>
    </w:p>
    <w:p w:rsidR="002C3E54" w:rsidRPr="001111BA" w:rsidRDefault="002C3E54" w:rsidP="002C3E54">
      <w:pPr>
        <w:jc w:val="both"/>
      </w:pPr>
    </w:p>
    <w:p w:rsidR="00E31E34" w:rsidRPr="001111BA" w:rsidRDefault="00CF770F" w:rsidP="002C3E54">
      <w:pPr>
        <w:rPr>
          <w:i/>
        </w:rPr>
      </w:pPr>
      <w:r w:rsidRPr="001111BA">
        <w:rPr>
          <w:i/>
        </w:rPr>
        <w:t xml:space="preserve">Forrás: </w:t>
      </w:r>
      <w:r w:rsidR="002C3E54" w:rsidRPr="001111BA">
        <w:rPr>
          <w:i/>
        </w:rPr>
        <w:t xml:space="preserve">Janka Adél, </w:t>
      </w:r>
      <w:r w:rsidR="001B4B54">
        <w:rPr>
          <w:i/>
        </w:rPr>
        <w:t>dr.</w:t>
      </w:r>
      <w:r w:rsidR="002C3E54" w:rsidRPr="001111BA">
        <w:rPr>
          <w:i/>
        </w:rPr>
        <w:t>Pethő Ágnes, Somogyiné Pálos Éva</w:t>
      </w:r>
    </w:p>
    <w:p w:rsidR="00E31E34" w:rsidRPr="001111BA" w:rsidRDefault="00E31E34" w:rsidP="00E31E34"/>
    <w:p w:rsidR="00A67CD2" w:rsidRPr="001111BA" w:rsidRDefault="00A67CD2" w:rsidP="00A67CD2">
      <w:pPr>
        <w:jc w:val="both"/>
        <w:rPr>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A67CD2" w:rsidRPr="001111BA" w:rsidTr="00F21D14">
        <w:tc>
          <w:tcPr>
            <w:tcW w:w="9212" w:type="dxa"/>
            <w:shd w:val="clear" w:color="auto" w:fill="C2D69B"/>
          </w:tcPr>
          <w:p w:rsidR="00A67CD2" w:rsidRPr="001111BA" w:rsidRDefault="003D2822" w:rsidP="00F2165E">
            <w:pPr>
              <w:pStyle w:val="Listaszerbekezds"/>
              <w:numPr>
                <w:ilvl w:val="1"/>
                <w:numId w:val="12"/>
              </w:numPr>
              <w:spacing w:after="0" w:line="240" w:lineRule="auto"/>
              <w:jc w:val="both"/>
              <w:rPr>
                <w:rFonts w:ascii="Times New Roman" w:hAnsi="Times New Roman"/>
                <w:b/>
                <w:bCs/>
                <w:sz w:val="24"/>
                <w:szCs w:val="24"/>
              </w:rPr>
            </w:pPr>
            <w:r w:rsidRPr="001111BA">
              <w:rPr>
                <w:rFonts w:ascii="Times New Roman" w:hAnsi="Times New Roman"/>
                <w:b/>
                <w:bCs/>
                <w:sz w:val="24"/>
                <w:szCs w:val="24"/>
              </w:rPr>
              <w:t xml:space="preserve">Helyettesítendő anyagok és összehasonlító értékelés </w:t>
            </w:r>
          </w:p>
        </w:tc>
      </w:tr>
    </w:tbl>
    <w:p w:rsidR="005678A1" w:rsidRPr="001111BA" w:rsidRDefault="005678A1" w:rsidP="005678A1">
      <w:pPr>
        <w:pStyle w:val="Default"/>
        <w:jc w:val="both"/>
        <w:rPr>
          <w:rFonts w:ascii="Times New Roman" w:hAnsi="Times New Roman" w:cs="Times New Roman"/>
        </w:rPr>
      </w:pPr>
    </w:p>
    <w:p w:rsidR="003D2822" w:rsidRPr="001111BA" w:rsidRDefault="003D2822" w:rsidP="005678A1">
      <w:pPr>
        <w:pStyle w:val="Default"/>
        <w:jc w:val="both"/>
        <w:rPr>
          <w:rFonts w:ascii="Times New Roman" w:hAnsi="Times New Roman" w:cs="Times New Roman"/>
          <w:lang w:eastAsia="hu-HU"/>
        </w:rPr>
      </w:pPr>
      <w:r w:rsidRPr="001111BA">
        <w:rPr>
          <w:rFonts w:ascii="Times New Roman" w:hAnsi="Times New Roman" w:cs="Times New Roman"/>
        </w:rPr>
        <w:t>A helyettesítésre kijelölt hatóanyagok fogalma új elemként került a</w:t>
      </w:r>
      <w:r w:rsidRPr="001111BA">
        <w:rPr>
          <w:rFonts w:ascii="Times New Roman" w:hAnsi="Times New Roman" w:cs="Times New Roman"/>
          <w:i/>
        </w:rPr>
        <w:t xml:space="preserve"> 1107/2009/EK rendelet</w:t>
      </w:r>
      <w:r w:rsidRPr="001111BA">
        <w:rPr>
          <w:rFonts w:ascii="Times New Roman" w:hAnsi="Times New Roman" w:cs="Times New Roman"/>
        </w:rPr>
        <w:t>be. Az Európai Unióban összehasonlító értékelést kell végezni mindazon növényvédő szerek engedélyezési eljárása során, amelyek hatóanyaga helyettesítésre jelölt anyagként nevesítésre került (</w:t>
      </w:r>
      <w:r w:rsidRPr="001111BA">
        <w:rPr>
          <w:rFonts w:ascii="Times New Roman" w:hAnsi="Times New Roman" w:cs="Times New Roman"/>
          <w:i/>
        </w:rPr>
        <w:t>24. és 50. cikk</w:t>
      </w:r>
      <w:r w:rsidRPr="001111BA">
        <w:rPr>
          <w:rFonts w:ascii="Times New Roman" w:hAnsi="Times New Roman" w:cs="Times New Roman"/>
        </w:rPr>
        <w:t xml:space="preserve">) annak érdekében, hogy megfelelőbb módszerrel, vagy kisebb kockázatú készítménnyel válthassák fel azokat. Az Európai Bizottság a </w:t>
      </w:r>
      <w:r w:rsidR="00F76A8D" w:rsidRPr="001111BA">
        <w:rPr>
          <w:rFonts w:ascii="Times New Roman" w:hAnsi="Times New Roman" w:cs="Times New Roman"/>
          <w:bCs/>
          <w:i/>
        </w:rPr>
        <w:t xml:space="preserve">1107/2009/EK </w:t>
      </w:r>
      <w:r w:rsidRPr="001111BA">
        <w:rPr>
          <w:rFonts w:ascii="Times New Roman" w:hAnsi="Times New Roman" w:cs="Times New Roman"/>
        </w:rPr>
        <w:t>Rendeletnek megfelelően elkészítette a helyettesítésre jelölt hatóanyagok jegyzékét (</w:t>
      </w:r>
      <w:r w:rsidRPr="001111BA">
        <w:rPr>
          <w:rFonts w:ascii="Times New Roman" w:hAnsi="Times New Roman" w:cs="Times New Roman"/>
          <w:bCs/>
          <w:i/>
        </w:rPr>
        <w:t>Bizottság  2015/408</w:t>
      </w:r>
      <w:r w:rsidR="00B63C02">
        <w:rPr>
          <w:rFonts w:ascii="Times New Roman" w:hAnsi="Times New Roman" w:cs="Times New Roman"/>
          <w:bCs/>
          <w:i/>
        </w:rPr>
        <w:t>/EU</w:t>
      </w:r>
      <w:r w:rsidRPr="001111BA">
        <w:rPr>
          <w:rFonts w:ascii="Times New Roman" w:hAnsi="Times New Roman" w:cs="Times New Roman"/>
          <w:bCs/>
          <w:i/>
        </w:rPr>
        <w:t xml:space="preserve"> </w:t>
      </w:r>
      <w:r w:rsidR="00E83EEC" w:rsidRPr="001111BA">
        <w:rPr>
          <w:rFonts w:ascii="Times New Roman" w:hAnsi="Times New Roman" w:cs="Times New Roman"/>
          <w:bCs/>
          <w:i/>
        </w:rPr>
        <w:t>r</w:t>
      </w:r>
      <w:r w:rsidRPr="001111BA">
        <w:rPr>
          <w:rFonts w:ascii="Times New Roman" w:hAnsi="Times New Roman" w:cs="Times New Roman"/>
          <w:bCs/>
          <w:i/>
        </w:rPr>
        <w:t xml:space="preserve">endelet a 1107/2009/EK </w:t>
      </w:r>
      <w:r w:rsidR="00F76A8D" w:rsidRPr="001111BA">
        <w:rPr>
          <w:rFonts w:ascii="Times New Roman" w:hAnsi="Times New Roman" w:cs="Times New Roman"/>
          <w:bCs/>
          <w:i/>
        </w:rPr>
        <w:t xml:space="preserve">rendelet </w:t>
      </w:r>
      <w:r w:rsidRPr="001111BA">
        <w:rPr>
          <w:rFonts w:ascii="Times New Roman" w:hAnsi="Times New Roman" w:cs="Times New Roman"/>
          <w:bCs/>
          <w:i/>
        </w:rPr>
        <w:t>80. cikke (7) bekezdésének végrehajtásáról és a helyettesítésre jelölt anyagok jegyzékének létrehozásáról</w:t>
      </w:r>
      <w:r w:rsidRPr="001111BA">
        <w:rPr>
          <w:rFonts w:ascii="Times New Roman" w:hAnsi="Times New Roman" w:cs="Times New Roman"/>
          <w:bCs/>
        </w:rPr>
        <w:t>).</w:t>
      </w:r>
      <w:r w:rsidRPr="001111BA">
        <w:rPr>
          <w:rFonts w:ascii="Times New Roman" w:hAnsi="Times New Roman" w:cs="Times New Roman"/>
        </w:rPr>
        <w:t xml:space="preserve"> Ez hazánkban 58 hatóanyag 305 készítményét jelenti, ami az engedélyezett készítményeknek közel egyharmada. Ezen hatóanyagok készítményeire </w:t>
      </w:r>
      <w:r w:rsidRPr="001111BA">
        <w:rPr>
          <w:rFonts w:ascii="Times New Roman" w:hAnsi="Times New Roman" w:cs="Times New Roman"/>
          <w:b/>
        </w:rPr>
        <w:t>2015. augusztus 1</w:t>
      </w:r>
      <w:r w:rsidRPr="001111BA">
        <w:rPr>
          <w:rFonts w:ascii="Times New Roman" w:hAnsi="Times New Roman" w:cs="Times New Roman"/>
        </w:rPr>
        <w:t xml:space="preserve">-jétől </w:t>
      </w:r>
      <w:r w:rsidRPr="001111BA">
        <w:rPr>
          <w:rFonts w:ascii="Times New Roman" w:hAnsi="Times New Roman" w:cs="Times New Roman"/>
          <w:lang w:eastAsia="hu-HU"/>
        </w:rPr>
        <w:t xml:space="preserve">összehasonlító értékelést kell elvégezni mindazon esetekben amikor a már engedélyezett növényvédő szer felülvizsgálatát </w:t>
      </w:r>
      <w:r w:rsidR="00434D27" w:rsidRPr="001111BA">
        <w:rPr>
          <w:rFonts w:ascii="Times New Roman" w:hAnsi="Times New Roman" w:cs="Times New Roman"/>
          <w:lang w:eastAsia="hu-HU"/>
        </w:rPr>
        <w:t xml:space="preserve">vagy módosítását </w:t>
      </w:r>
      <w:r w:rsidRPr="001111BA">
        <w:rPr>
          <w:rFonts w:ascii="Times New Roman" w:hAnsi="Times New Roman" w:cs="Times New Roman"/>
          <w:lang w:eastAsia="hu-HU"/>
        </w:rPr>
        <w:t>kérik, vagyis az engedély megújításakor / meghosszabbításakor; a növényvédő szer engedélyének módosítása során; illetve ha új növényvédő szer engedélyezésére nyújtanak be kérelmet.</w:t>
      </w:r>
    </w:p>
    <w:p w:rsidR="005678A1" w:rsidRPr="001111BA" w:rsidRDefault="005678A1" w:rsidP="005678A1">
      <w:pPr>
        <w:pStyle w:val="Default"/>
        <w:jc w:val="both"/>
        <w:rPr>
          <w:rFonts w:ascii="Times New Roman" w:hAnsi="Times New Roman" w:cs="Times New Roman"/>
        </w:rPr>
      </w:pPr>
    </w:p>
    <w:p w:rsidR="003D2822" w:rsidRPr="001111BA" w:rsidRDefault="003D2822" w:rsidP="005678A1">
      <w:pPr>
        <w:pStyle w:val="Default"/>
        <w:jc w:val="both"/>
        <w:rPr>
          <w:rFonts w:ascii="Times New Roman" w:hAnsi="Times New Roman" w:cs="Times New Roman"/>
          <w:bCs/>
        </w:rPr>
      </w:pPr>
      <w:r w:rsidRPr="001111BA">
        <w:rPr>
          <w:rFonts w:ascii="Times New Roman" w:hAnsi="Times New Roman" w:cs="Times New Roman"/>
        </w:rPr>
        <w:t xml:space="preserve">A növényvédő szer engedély-tulajdonosának a rendelkezésre álló útmutatók (EPPO PP 1/271, SANCO 11507/2013 és </w:t>
      </w:r>
      <w:r w:rsidRPr="001111BA">
        <w:rPr>
          <w:rFonts w:ascii="Times New Roman" w:hAnsi="Times New Roman" w:cs="Times New Roman"/>
          <w:bCs/>
        </w:rPr>
        <w:t xml:space="preserve">Guide for UK applicants for Plant Protection Product authorisation) </w:t>
      </w:r>
      <w:r w:rsidRPr="001111BA">
        <w:rPr>
          <w:rFonts w:ascii="Times New Roman" w:hAnsi="Times New Roman" w:cs="Times New Roman"/>
        </w:rPr>
        <w:t xml:space="preserve">alapján kell a szükséges dokumentációt benyújtani a magyar hatóság részére. Tekintettel arra, hogy az </w:t>
      </w:r>
      <w:r w:rsidRPr="001111BA">
        <w:rPr>
          <w:rFonts w:ascii="Times New Roman" w:hAnsi="Times New Roman" w:cs="Times New Roman"/>
        </w:rPr>
        <w:lastRenderedPageBreak/>
        <w:t xml:space="preserve">értékelés </w:t>
      </w:r>
      <w:r w:rsidRPr="001111BA">
        <w:rPr>
          <w:rFonts w:ascii="Times New Roman" w:hAnsi="Times New Roman" w:cs="Times New Roman"/>
          <w:b/>
        </w:rPr>
        <w:t>tagállami szinten</w:t>
      </w:r>
      <w:r w:rsidRPr="001111BA">
        <w:rPr>
          <w:rFonts w:ascii="Times New Roman" w:hAnsi="Times New Roman" w:cs="Times New Roman"/>
        </w:rPr>
        <w:t xml:space="preserve"> történik, a hazai engedélyező hatóság egy saját útmutatót dolgoz ki, amely az angol nemzeti hatóság útmutatójára épül, de figyelembe veszi a kárpát-medencei régió sajátosságait. Az értékelés fő szempontjai: hatékonyság, termésbiztonság, rezisztencia veszélyének értékelése, gyakorlati vagy gazdasági hátrányok értékelése, beleértbe a kiskultúrákban való felhasználásra gyakorolt hatást, továbbá humán-egészségügyi és környezeti vonatkozás értékelése.</w:t>
      </w:r>
    </w:p>
    <w:p w:rsidR="005678A1" w:rsidRPr="001111BA" w:rsidRDefault="005678A1" w:rsidP="005678A1">
      <w:pPr>
        <w:jc w:val="both"/>
      </w:pPr>
    </w:p>
    <w:p w:rsidR="003D2822" w:rsidRPr="001111BA" w:rsidRDefault="003D2822" w:rsidP="005678A1">
      <w:pPr>
        <w:jc w:val="both"/>
      </w:pPr>
      <w:r w:rsidRPr="001111BA">
        <w:t xml:space="preserve">Amennyiben Magyarország a zRMS a középső zónában, a növényvédő </w:t>
      </w:r>
      <w:bookmarkStart w:id="0" w:name="_GoBack"/>
      <w:bookmarkEnd w:id="0"/>
      <w:r w:rsidRPr="001111BA">
        <w:t xml:space="preserve">szer engedély-tulajdonosának nem kell benyújtani a többi átvevő tagállamokra kidolgozott nemzeti „Benefit Case” dokumentumokat (csak a magyart) a zonális kérelemmel egy időben a magyar hatósághoz. </w:t>
      </w:r>
    </w:p>
    <w:p w:rsidR="005678A1" w:rsidRPr="001111BA" w:rsidRDefault="005678A1" w:rsidP="005678A1">
      <w:pPr>
        <w:autoSpaceDE w:val="0"/>
        <w:autoSpaceDN w:val="0"/>
        <w:adjustRightInd w:val="0"/>
        <w:jc w:val="both"/>
      </w:pPr>
    </w:p>
    <w:p w:rsidR="003D2822" w:rsidRPr="001111BA" w:rsidRDefault="003D2822" w:rsidP="005678A1">
      <w:pPr>
        <w:autoSpaceDE w:val="0"/>
        <w:autoSpaceDN w:val="0"/>
        <w:adjustRightInd w:val="0"/>
        <w:jc w:val="both"/>
      </w:pPr>
      <w:r w:rsidRPr="001111BA">
        <w:t xml:space="preserve">Az összehasonlító értékeléshez szükséges „Benefit Case” dokumentumot </w:t>
      </w:r>
      <w:r w:rsidRPr="001111BA">
        <w:rPr>
          <w:b/>
        </w:rPr>
        <w:t>csak akkor kell benyújtani, amikor a zonális értékelés és a zRMS engedélyokirata alapján a cég a nemzeti engedély kiadását kéri a hatóságtól</w:t>
      </w:r>
      <w:r w:rsidRPr="001111BA">
        <w:t>, mint átvevő tagállamtól (cMS).</w:t>
      </w:r>
    </w:p>
    <w:p w:rsidR="005678A1" w:rsidRPr="001111BA" w:rsidRDefault="005678A1" w:rsidP="005678A1">
      <w:pPr>
        <w:jc w:val="both"/>
      </w:pPr>
    </w:p>
    <w:p w:rsidR="003D2822" w:rsidRPr="001111BA" w:rsidRDefault="003D2822" w:rsidP="005678A1">
      <w:pPr>
        <w:jc w:val="both"/>
      </w:pPr>
      <w:r w:rsidRPr="001111BA">
        <w:t xml:space="preserve">Az eddig engedélyezett kiskultúrák megtartását az összehasonlító értékelés során a magyar hatóság kiemelt jelentőségűnek tekinti, ugyanakkor a kiskultúrákra kiadott engedély nem jelenti automatikusan az összehasonlító értékelés első lépésben történő lezárását. Csak akkor nem kell lefolytatni az értékelést, ha adott kiskultúrában, adott károsító ellen csak egy készítmény rendelkezik engedéllyel.  </w:t>
      </w:r>
    </w:p>
    <w:p w:rsidR="003D2822" w:rsidRPr="001111BA" w:rsidRDefault="003D2822" w:rsidP="003D2822">
      <w:pPr>
        <w:jc w:val="both"/>
        <w:rPr>
          <w:rFonts w:ascii="Calibri" w:eastAsia="Calibri" w:hAnsi="Calibri"/>
          <w:highlight w:val="yellow"/>
        </w:rPr>
      </w:pPr>
    </w:p>
    <w:p w:rsidR="00A67CD2" w:rsidRPr="001111BA" w:rsidRDefault="003D2822" w:rsidP="003D2822">
      <w:pPr>
        <w:ind w:right="150"/>
        <w:rPr>
          <w:b/>
          <w:bCs/>
          <w:i/>
          <w:iCs/>
          <w:sz w:val="28"/>
          <w:szCs w:val="28"/>
          <w:highlight w:val="yellow"/>
        </w:rPr>
      </w:pPr>
      <w:r w:rsidRPr="001111BA">
        <w:rPr>
          <w:i/>
        </w:rPr>
        <w:t>Forrás: Gál Péter</w:t>
      </w:r>
    </w:p>
    <w:p w:rsidR="00A67CD2" w:rsidRDefault="00A67CD2" w:rsidP="00A67CD2">
      <w:pPr>
        <w:rPr>
          <w:i/>
          <w:highlight w:val="yellow"/>
        </w:rPr>
      </w:pPr>
    </w:p>
    <w:p w:rsidR="006657A6" w:rsidRPr="001111BA" w:rsidRDefault="006657A6" w:rsidP="00A67CD2">
      <w:pPr>
        <w:rPr>
          <w:i/>
          <w:highlight w:val="yellow"/>
        </w:rPr>
      </w:pPr>
    </w:p>
    <w:p w:rsidR="00A67CD2" w:rsidRPr="001111BA" w:rsidRDefault="00A67CD2" w:rsidP="00A67CD2">
      <w:pPr>
        <w:jc w:val="both"/>
        <w:rPr>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A67CD2" w:rsidRPr="001111BA" w:rsidTr="00F21D14">
        <w:tc>
          <w:tcPr>
            <w:tcW w:w="9212" w:type="dxa"/>
            <w:shd w:val="clear" w:color="auto" w:fill="C2D69B"/>
          </w:tcPr>
          <w:p w:rsidR="00A67CD2" w:rsidRPr="001111BA" w:rsidRDefault="004B6829" w:rsidP="00F2165E">
            <w:pPr>
              <w:pStyle w:val="Listaszerbekezds"/>
              <w:numPr>
                <w:ilvl w:val="1"/>
                <w:numId w:val="12"/>
              </w:numPr>
              <w:spacing w:after="0" w:line="240" w:lineRule="auto"/>
              <w:jc w:val="both"/>
              <w:rPr>
                <w:rFonts w:ascii="Times New Roman" w:hAnsi="Times New Roman"/>
                <w:b/>
                <w:bCs/>
                <w:sz w:val="24"/>
                <w:szCs w:val="24"/>
              </w:rPr>
            </w:pPr>
            <w:r w:rsidRPr="001111BA">
              <w:rPr>
                <w:rFonts w:ascii="Times New Roman" w:hAnsi="Times New Roman"/>
                <w:b/>
                <w:bCs/>
                <w:sz w:val="24"/>
                <w:szCs w:val="24"/>
              </w:rPr>
              <w:t xml:space="preserve">Engedélyezés a </w:t>
            </w:r>
            <w:r w:rsidR="002C505E" w:rsidRPr="001111BA">
              <w:rPr>
                <w:rFonts w:ascii="Times New Roman" w:hAnsi="Times New Roman"/>
                <w:b/>
                <w:bCs/>
                <w:sz w:val="24"/>
                <w:szCs w:val="24"/>
              </w:rPr>
              <w:t xml:space="preserve">1107/2009/EK </w:t>
            </w:r>
            <w:r w:rsidRPr="001111BA">
              <w:rPr>
                <w:rFonts w:ascii="Times New Roman" w:hAnsi="Times New Roman"/>
                <w:b/>
                <w:bCs/>
                <w:sz w:val="24"/>
                <w:szCs w:val="24"/>
              </w:rPr>
              <w:t>Rendelet 34. cikkére hivatkozva</w:t>
            </w:r>
          </w:p>
        </w:tc>
      </w:tr>
    </w:tbl>
    <w:p w:rsidR="001B3A60" w:rsidRPr="001111BA" w:rsidRDefault="001B3A60" w:rsidP="001B3A60">
      <w:pPr>
        <w:jc w:val="center"/>
      </w:pPr>
      <w:r w:rsidRPr="001111BA">
        <w:t>Mentesség a vizsgálatok benyújtásának kötelezettsége alól</w:t>
      </w:r>
    </w:p>
    <w:p w:rsidR="001B3A60" w:rsidRPr="001111BA" w:rsidRDefault="001B3A60" w:rsidP="001B3A60">
      <w:pPr>
        <w:jc w:val="both"/>
      </w:pPr>
    </w:p>
    <w:p w:rsidR="00C27D17" w:rsidRDefault="00C27D17" w:rsidP="00C27D17">
      <w:pPr>
        <w:jc w:val="both"/>
      </w:pPr>
    </w:p>
    <w:p w:rsidR="00C27D17" w:rsidRDefault="00C27D17" w:rsidP="00C27D17">
      <w:pPr>
        <w:jc w:val="both"/>
        <w:rPr>
          <w:b/>
        </w:rPr>
      </w:pPr>
      <w:r>
        <w:t xml:space="preserve">A </w:t>
      </w:r>
      <w:r w:rsidRPr="003D2822">
        <w:rPr>
          <w:bCs/>
          <w:i/>
        </w:rPr>
        <w:t xml:space="preserve">1107/2009/EK </w:t>
      </w:r>
      <w:r>
        <w:rPr>
          <w:bCs/>
          <w:i/>
        </w:rPr>
        <w:t>r</w:t>
      </w:r>
      <w:r w:rsidRPr="00DF511C">
        <w:rPr>
          <w:i/>
        </w:rPr>
        <w:t>endelet</w:t>
      </w:r>
      <w:r w:rsidRPr="00DF511C">
        <w:t xml:space="preserve"> 34. cikk</w:t>
      </w:r>
      <w:r>
        <w:t xml:space="preserve">e mentességet biztosít az engedély kérelmezőjének a vizsgálati adatok benyújtásának kötelezettsége alól, amennyiben a </w:t>
      </w:r>
      <w:r w:rsidRPr="003524EA">
        <w:rPr>
          <w:b/>
        </w:rPr>
        <w:t xml:space="preserve">tagállam rendelkezik az érintett </w:t>
      </w:r>
      <w:r>
        <w:rPr>
          <w:b/>
        </w:rPr>
        <w:t>ad</w:t>
      </w:r>
      <w:r w:rsidRPr="003524EA">
        <w:rPr>
          <w:b/>
        </w:rPr>
        <w:t>atokkal</w:t>
      </w:r>
      <w:r>
        <w:t>, és a kérelmező igazolja, hogy azokhoz hozzáférési jogot (</w:t>
      </w:r>
      <w:r w:rsidRPr="00DF511C">
        <w:rPr>
          <w:b/>
        </w:rPr>
        <w:t xml:space="preserve">Letter of </w:t>
      </w:r>
      <w:r>
        <w:rPr>
          <w:b/>
        </w:rPr>
        <w:t>A</w:t>
      </w:r>
      <w:r w:rsidRPr="00DF511C">
        <w:rPr>
          <w:b/>
        </w:rPr>
        <w:t>ccess</w:t>
      </w:r>
      <w:r>
        <w:t xml:space="preserve">) kapott, vagy az azokra vonatkozó </w:t>
      </w:r>
      <w:r w:rsidRPr="00DF511C">
        <w:rPr>
          <w:b/>
        </w:rPr>
        <w:t>adatvédelmi idő lejárt.</w:t>
      </w:r>
    </w:p>
    <w:p w:rsidR="00C27D17" w:rsidRDefault="00C27D17" w:rsidP="00C27D17">
      <w:pPr>
        <w:jc w:val="both"/>
      </w:pPr>
    </w:p>
    <w:p w:rsidR="00C27D17" w:rsidRDefault="00C27D17" w:rsidP="00C27D17">
      <w:pPr>
        <w:jc w:val="both"/>
      </w:pPr>
      <w:r>
        <w:t>A 34. cikk értelmezéséből adódóan a mentesség egyéb feltételei:</w:t>
      </w:r>
    </w:p>
    <w:p w:rsidR="00C27D17" w:rsidRPr="00471CE8" w:rsidRDefault="00C27D17" w:rsidP="00C27D17">
      <w:pPr>
        <w:pStyle w:val="Listaszerbekezds"/>
        <w:numPr>
          <w:ilvl w:val="0"/>
          <w:numId w:val="13"/>
        </w:numPr>
        <w:spacing w:after="0" w:line="240" w:lineRule="auto"/>
        <w:jc w:val="both"/>
        <w:rPr>
          <w:rFonts w:ascii="Times New Roman" w:hAnsi="Times New Roman"/>
          <w:sz w:val="24"/>
          <w:szCs w:val="24"/>
        </w:rPr>
      </w:pPr>
      <w:r w:rsidRPr="00471CE8">
        <w:rPr>
          <w:rFonts w:ascii="Times New Roman" w:hAnsi="Times New Roman"/>
          <w:sz w:val="24"/>
          <w:szCs w:val="24"/>
        </w:rPr>
        <w:t>A referencia szer – amelynek lejárt adatvédelmére hivatkozik a kérelmező, ill, amelyhez adathozzáférése van – a 91/414/E</w:t>
      </w:r>
      <w:r>
        <w:rPr>
          <w:rFonts w:ascii="Times New Roman" w:hAnsi="Times New Roman"/>
          <w:sz w:val="24"/>
          <w:szCs w:val="24"/>
        </w:rPr>
        <w:t>G</w:t>
      </w:r>
      <w:r w:rsidRPr="00471CE8">
        <w:rPr>
          <w:rFonts w:ascii="Times New Roman" w:hAnsi="Times New Roman"/>
          <w:sz w:val="24"/>
          <w:szCs w:val="24"/>
        </w:rPr>
        <w:t>K irányelv, vagy a 1107/2009/EK rendelet szerinti, az egységes elveknek megfelelő engedéllyel rendelkezzen;</w:t>
      </w:r>
    </w:p>
    <w:p w:rsidR="00C27D17" w:rsidRDefault="00C27D17" w:rsidP="00C27D17">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t>N</w:t>
      </w:r>
      <w:r w:rsidRPr="008237DB">
        <w:rPr>
          <w:rFonts w:ascii="Times New Roman" w:hAnsi="Times New Roman"/>
          <w:sz w:val="24"/>
          <w:szCs w:val="24"/>
        </w:rPr>
        <w:t xml:space="preserve">em lehet </w:t>
      </w:r>
      <w:r>
        <w:rPr>
          <w:rFonts w:ascii="Times New Roman" w:hAnsi="Times New Roman"/>
          <w:sz w:val="24"/>
          <w:szCs w:val="24"/>
        </w:rPr>
        <w:t xml:space="preserve">egynél több </w:t>
      </w:r>
      <w:r w:rsidRPr="008237DB">
        <w:rPr>
          <w:rFonts w:ascii="Times New Roman" w:hAnsi="Times New Roman"/>
          <w:sz w:val="24"/>
          <w:szCs w:val="24"/>
        </w:rPr>
        <w:t>ref</w:t>
      </w:r>
      <w:r>
        <w:rPr>
          <w:rFonts w:ascii="Times New Roman" w:hAnsi="Times New Roman"/>
          <w:sz w:val="24"/>
          <w:szCs w:val="24"/>
        </w:rPr>
        <w:t>erencia szerre hivatkozni;</w:t>
      </w:r>
    </w:p>
    <w:p w:rsidR="00C27D17" w:rsidRDefault="00C27D17" w:rsidP="00C27D17">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t>A</w:t>
      </w:r>
      <w:r w:rsidRPr="008237DB">
        <w:rPr>
          <w:rFonts w:ascii="Times New Roman" w:hAnsi="Times New Roman"/>
          <w:sz w:val="24"/>
          <w:szCs w:val="24"/>
        </w:rPr>
        <w:t xml:space="preserve">z átvevő tagállamokban (cMS) is ugyanaz a referencia szer </w:t>
      </w:r>
      <w:r>
        <w:rPr>
          <w:rFonts w:ascii="Times New Roman" w:hAnsi="Times New Roman"/>
          <w:sz w:val="24"/>
          <w:szCs w:val="24"/>
        </w:rPr>
        <w:t xml:space="preserve">legyen </w:t>
      </w:r>
      <w:r w:rsidRPr="008237DB">
        <w:rPr>
          <w:rFonts w:ascii="Times New Roman" w:hAnsi="Times New Roman"/>
          <w:sz w:val="24"/>
          <w:szCs w:val="24"/>
        </w:rPr>
        <w:t>engedélyezve</w:t>
      </w:r>
      <w:r>
        <w:rPr>
          <w:rFonts w:ascii="Times New Roman" w:hAnsi="Times New Roman"/>
          <w:sz w:val="24"/>
          <w:szCs w:val="24"/>
        </w:rPr>
        <w:t>, mint a zonális értékelő tagállamban (zRMS).</w:t>
      </w:r>
    </w:p>
    <w:p w:rsidR="00C27D17" w:rsidRDefault="00C27D17" w:rsidP="00C27D17">
      <w:pPr>
        <w:pStyle w:val="Listaszerbekezds"/>
        <w:spacing w:after="0" w:line="240" w:lineRule="auto"/>
        <w:jc w:val="both"/>
        <w:rPr>
          <w:rFonts w:ascii="Times New Roman" w:hAnsi="Times New Roman"/>
          <w:sz w:val="24"/>
          <w:szCs w:val="24"/>
        </w:rPr>
      </w:pPr>
    </w:p>
    <w:p w:rsidR="00C27D17" w:rsidRDefault="00C27D17" w:rsidP="00C27D17">
      <w:pPr>
        <w:jc w:val="both"/>
      </w:pPr>
      <w:r>
        <w:t>A kérelemhez az alábbi adatokat kell mellékelni:</w:t>
      </w:r>
    </w:p>
    <w:p w:rsidR="00C27D17" w:rsidRDefault="00C27D17" w:rsidP="00C27D17">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t>A referencia szer megnevezése, engedélyezési státusza a zonális értékelő tagállamban és az átvevő tagállamokban;</w:t>
      </w:r>
    </w:p>
    <w:p w:rsidR="00C27D17" w:rsidRDefault="00C27D17" w:rsidP="00C27D17">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t>A referencia szer adatvédelmi státusza</w:t>
      </w:r>
      <w:r w:rsidRPr="003D02EA">
        <w:rPr>
          <w:rFonts w:ascii="Times New Roman" w:hAnsi="Times New Roman"/>
          <w:sz w:val="24"/>
          <w:szCs w:val="24"/>
        </w:rPr>
        <w:t xml:space="preserve"> </w:t>
      </w:r>
      <w:r>
        <w:rPr>
          <w:rFonts w:ascii="Times New Roman" w:hAnsi="Times New Roman"/>
          <w:sz w:val="24"/>
          <w:szCs w:val="24"/>
        </w:rPr>
        <w:t>a zonális értékelő tagállamban és az átvevő tagállamokban (az adatvédelem lejárta eltérő lehet az egyes tagállamokban);</w:t>
      </w:r>
    </w:p>
    <w:p w:rsidR="00C27D17" w:rsidRPr="00540901" w:rsidRDefault="00C27D17" w:rsidP="00C27D17">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Esetlegesen meglévő vizsgálati adatok és </w:t>
      </w:r>
      <w:r w:rsidRPr="00B10B35">
        <w:rPr>
          <w:rFonts w:ascii="Times New Roman" w:hAnsi="Times New Roman"/>
          <w:sz w:val="24"/>
          <w:szCs w:val="24"/>
        </w:rPr>
        <w:t xml:space="preserve">Letter of </w:t>
      </w:r>
      <w:r>
        <w:rPr>
          <w:rFonts w:ascii="Times New Roman" w:hAnsi="Times New Roman"/>
          <w:sz w:val="24"/>
          <w:szCs w:val="24"/>
        </w:rPr>
        <w:t>A</w:t>
      </w:r>
      <w:r w:rsidRPr="00B10B35">
        <w:rPr>
          <w:rFonts w:ascii="Times New Roman" w:hAnsi="Times New Roman"/>
          <w:sz w:val="24"/>
          <w:szCs w:val="24"/>
        </w:rPr>
        <w:t>ccess</w:t>
      </w:r>
      <w:r>
        <w:rPr>
          <w:rFonts w:ascii="Times New Roman" w:hAnsi="Times New Roman"/>
          <w:sz w:val="24"/>
          <w:szCs w:val="24"/>
        </w:rPr>
        <w:t>;</w:t>
      </w:r>
      <w:r w:rsidRPr="00B10B35">
        <w:rPr>
          <w:rFonts w:ascii="Times New Roman" w:hAnsi="Times New Roman"/>
          <w:sz w:val="24"/>
          <w:szCs w:val="24"/>
        </w:rPr>
        <w:t xml:space="preserve"> </w:t>
      </w:r>
    </w:p>
    <w:p w:rsidR="00C27D17" w:rsidRDefault="00C27D17" w:rsidP="00C27D17">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t>A növényvédő szer azonosítási adatai (284/2013/E</w:t>
      </w:r>
      <w:r w:rsidR="00B63C02">
        <w:rPr>
          <w:rFonts w:ascii="Times New Roman" w:hAnsi="Times New Roman"/>
          <w:sz w:val="24"/>
          <w:szCs w:val="24"/>
        </w:rPr>
        <w:t>U</w:t>
      </w:r>
      <w:r>
        <w:rPr>
          <w:rFonts w:ascii="Times New Roman" w:hAnsi="Times New Roman"/>
          <w:sz w:val="24"/>
          <w:szCs w:val="24"/>
        </w:rPr>
        <w:t xml:space="preserve"> A vagy B/ 1.1-1.6.);</w:t>
      </w:r>
    </w:p>
    <w:p w:rsidR="00C27D17" w:rsidRDefault="00C27D17" w:rsidP="00C27D17">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t>A készítmény részletes összetétele, az összetevők biztonsági adatlapjával;</w:t>
      </w:r>
    </w:p>
    <w:p w:rsidR="00C27D17" w:rsidRDefault="00C27D17" w:rsidP="00C27D17">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t>A hatóanyag azonosítása (ekvivalencia jelentés, 5-sarzs analízis);</w:t>
      </w:r>
    </w:p>
    <w:p w:rsidR="00C27D17" w:rsidRDefault="00C27D17" w:rsidP="00C27D17">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t>Nyilatkozat arról, hogy a készítmény nem tartalmaz elfogadhatatlan formulációs segédanyagot;</w:t>
      </w:r>
    </w:p>
    <w:p w:rsidR="00C27D17" w:rsidRDefault="00C27D17" w:rsidP="00C27D17">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lastRenderedPageBreak/>
        <w:t>A növényvédő szer fizikai és kémiai tulajdonságai (284/2013/E</w:t>
      </w:r>
      <w:r w:rsidR="00B63C02">
        <w:rPr>
          <w:rFonts w:ascii="Times New Roman" w:hAnsi="Times New Roman"/>
          <w:sz w:val="24"/>
          <w:szCs w:val="24"/>
        </w:rPr>
        <w:t>U</w:t>
      </w:r>
      <w:r>
        <w:rPr>
          <w:rFonts w:ascii="Times New Roman" w:hAnsi="Times New Roman"/>
          <w:sz w:val="24"/>
          <w:szCs w:val="24"/>
        </w:rPr>
        <w:t xml:space="preserve"> A vagy B/2.);</w:t>
      </w:r>
    </w:p>
    <w:p w:rsidR="00C27D17" w:rsidRDefault="00C27D17" w:rsidP="00C27D17">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t>Javasolt felhasználások (GAP) – azonos legyen a referencia szerrel, a növénykultúra kör lehet szűkebb;</w:t>
      </w:r>
    </w:p>
    <w:p w:rsidR="00C27D17" w:rsidRDefault="00C27D17" w:rsidP="00C27D17">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t>Megfelelő számú hatékonysági vizsgálat a DK-i EPPO zónából;</w:t>
      </w:r>
    </w:p>
    <w:p w:rsidR="00C27D17" w:rsidRPr="007838F6" w:rsidRDefault="00C27D17" w:rsidP="00C27D17">
      <w:pPr>
        <w:pStyle w:val="Listaszerbekezds"/>
        <w:numPr>
          <w:ilvl w:val="0"/>
          <w:numId w:val="13"/>
        </w:numPr>
        <w:spacing w:after="0" w:line="240" w:lineRule="auto"/>
        <w:jc w:val="both"/>
        <w:rPr>
          <w:rFonts w:ascii="Times New Roman" w:hAnsi="Times New Roman"/>
          <w:sz w:val="24"/>
          <w:szCs w:val="24"/>
        </w:rPr>
      </w:pPr>
      <w:r w:rsidRPr="007838F6">
        <w:rPr>
          <w:rFonts w:ascii="Times New Roman" w:hAnsi="Times New Roman"/>
          <w:sz w:val="24"/>
          <w:szCs w:val="24"/>
        </w:rPr>
        <w:t xml:space="preserve">A növényvédő szer veszélyességi besorolása, </w:t>
      </w:r>
      <w:r w:rsidRPr="007838F6">
        <w:rPr>
          <w:rFonts w:ascii="Times New Roman" w:hAnsi="Times New Roman"/>
          <w:snapToGrid w:val="0"/>
          <w:sz w:val="24"/>
          <w:szCs w:val="24"/>
        </w:rPr>
        <w:t>és a biztonságos fel</w:t>
      </w:r>
      <w:r>
        <w:rPr>
          <w:rFonts w:ascii="Times New Roman" w:hAnsi="Times New Roman"/>
          <w:snapToGrid w:val="0"/>
          <w:sz w:val="24"/>
          <w:szCs w:val="24"/>
        </w:rPr>
        <w:t>használásra vonatkozó előírások;</w:t>
      </w:r>
      <w:r w:rsidRPr="007838F6">
        <w:rPr>
          <w:rFonts w:ascii="Times New Roman" w:hAnsi="Times New Roman"/>
          <w:bCs/>
          <w:sz w:val="24"/>
          <w:szCs w:val="24"/>
        </w:rPr>
        <w:t xml:space="preserve"> </w:t>
      </w:r>
    </w:p>
    <w:p w:rsidR="00C27D17" w:rsidRDefault="00C27D17" w:rsidP="00C27D17">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Referencia lista; </w:t>
      </w:r>
    </w:p>
    <w:p w:rsidR="00C27D17" w:rsidRDefault="00C27D17" w:rsidP="00C27D17">
      <w:pPr>
        <w:pStyle w:val="Listaszerbekezds"/>
        <w:numPr>
          <w:ilvl w:val="0"/>
          <w:numId w:val="13"/>
        </w:numPr>
        <w:spacing w:after="0" w:line="240" w:lineRule="auto"/>
        <w:jc w:val="both"/>
        <w:rPr>
          <w:rFonts w:ascii="Times New Roman" w:hAnsi="Times New Roman"/>
          <w:sz w:val="24"/>
          <w:szCs w:val="24"/>
        </w:rPr>
      </w:pPr>
      <w:r>
        <w:rPr>
          <w:rFonts w:ascii="Times New Roman" w:hAnsi="Times New Roman"/>
          <w:sz w:val="24"/>
          <w:szCs w:val="24"/>
        </w:rPr>
        <w:t>Termékcímke szövege</w:t>
      </w:r>
    </w:p>
    <w:p w:rsidR="00C27D17" w:rsidRDefault="00C27D17" w:rsidP="00C27D17">
      <w:pPr>
        <w:pStyle w:val="Listaszerbekezds"/>
        <w:spacing w:after="0" w:line="240" w:lineRule="auto"/>
        <w:jc w:val="both"/>
        <w:rPr>
          <w:rFonts w:ascii="Times New Roman" w:hAnsi="Times New Roman"/>
          <w:sz w:val="24"/>
          <w:szCs w:val="24"/>
        </w:rPr>
      </w:pPr>
    </w:p>
    <w:p w:rsidR="00C27D17" w:rsidRDefault="00C27D17" w:rsidP="00C27D17">
      <w:pPr>
        <w:jc w:val="both"/>
      </w:pPr>
      <w:r>
        <w:t>A fenti adatokat dRR formátumban kell benyújtani / (összetétel:</w:t>
      </w:r>
      <w:r w:rsidRPr="000168BD">
        <w:t xml:space="preserve"> </w:t>
      </w:r>
      <w:r>
        <w:t>Part C, felhasználásra vonatkozó információ, veszélyességi besorolás: Part A, azonosítási adatok, fiz-kém: Part B formában).</w:t>
      </w:r>
    </w:p>
    <w:p w:rsidR="00C27D17" w:rsidRDefault="00C27D17" w:rsidP="00C27D17">
      <w:pPr>
        <w:jc w:val="both"/>
      </w:pPr>
      <w:r>
        <w:t>Az engedélyezési eljárás az ilyen típusú kérelmek esetében is zonálisan történik, az értékelés határideje 12 (+6) hónap. A zonális értékelő megvizsgálja a hatóanyag azonosságát (equivalence) és a készítmény összehasonlíthatóságát (comparability) a referencia szerrel összevetve. (ekvivalencia: 38. cikk, DG SANCO/10597/2003; összehasonlíthatóság: DG SANCO/12638/2011 szerint).</w:t>
      </w:r>
    </w:p>
    <w:p w:rsidR="00C27D17" w:rsidRDefault="00C27D17" w:rsidP="00C27D17">
      <w:pPr>
        <w:jc w:val="both"/>
      </w:pPr>
    </w:p>
    <w:p w:rsidR="00C27D17" w:rsidRDefault="00C27D17" w:rsidP="00C27D17">
      <w:pPr>
        <w:jc w:val="both"/>
      </w:pPr>
      <w:r>
        <w:t xml:space="preserve">Amennyiben Magyarország </w:t>
      </w:r>
      <w:r w:rsidRPr="000D6E06">
        <w:rPr>
          <w:b/>
        </w:rPr>
        <w:t>átvevő tagállam</w:t>
      </w:r>
      <w:r>
        <w:t>, ugyancsak ellenőriznie kell a Magyarországon engedélyezett referencia szer adatvédelmi státuszát, és össze kell vetnie az engedélyezni kívánt készítménnyel (equivalence, comparability).</w:t>
      </w:r>
    </w:p>
    <w:p w:rsidR="00C27D17" w:rsidRDefault="00C27D17" w:rsidP="00C27D17">
      <w:pPr>
        <w:jc w:val="both"/>
      </w:pPr>
    </w:p>
    <w:p w:rsidR="00C27D17" w:rsidRDefault="00C27D17" w:rsidP="00C27D17">
      <w:pPr>
        <w:jc w:val="both"/>
      </w:pPr>
      <w:r>
        <w:t xml:space="preserve">Egy készítmény </w:t>
      </w:r>
      <w:r w:rsidRPr="000D6E06">
        <w:rPr>
          <w:b/>
        </w:rPr>
        <w:t>kölcsönös elismerése</w:t>
      </w:r>
      <w:r>
        <w:t xml:space="preserve"> esetében a 40-42. cikk szerint kell eljárni, továbbá ez esetben is össze kell vetni a Magyarországon engedélyezett referencia szert és az engedélyezni kívánt készítményt (adatvédelem, equivalence, comparability).</w:t>
      </w:r>
    </w:p>
    <w:p w:rsidR="00C27D17" w:rsidRDefault="00C27D17" w:rsidP="00C27D17">
      <w:pPr>
        <w:jc w:val="both"/>
      </w:pPr>
    </w:p>
    <w:p w:rsidR="00C27D17" w:rsidRDefault="00C27D17" w:rsidP="00C27D17">
      <w:pPr>
        <w:jc w:val="both"/>
      </w:pPr>
      <w:r>
        <w:t xml:space="preserve">A kérelem benyújtása, ill. még a hazai (EPPO) biológiai vizsgálatok megrendelése előtt érdemes megkeresni hatóságunkat az engedélyezni kívánt készítmény és a referencia szer státuszának áttekintése és az adatkövetelmény előzetes egyeztetése érdekében. </w:t>
      </w:r>
    </w:p>
    <w:p w:rsidR="00C27D17" w:rsidRDefault="00C27D17" w:rsidP="00C27D17">
      <w:pPr>
        <w:jc w:val="both"/>
      </w:pPr>
    </w:p>
    <w:p w:rsidR="00C27D17" w:rsidRPr="0093450F" w:rsidRDefault="00C27D17" w:rsidP="00C27D17">
      <w:pPr>
        <w:ind w:right="150"/>
        <w:rPr>
          <w:b/>
          <w:bCs/>
          <w:i/>
          <w:iCs/>
          <w:sz w:val="28"/>
          <w:szCs w:val="28"/>
          <w:highlight w:val="yellow"/>
        </w:rPr>
      </w:pPr>
      <w:r w:rsidRPr="0093450F">
        <w:rPr>
          <w:i/>
        </w:rPr>
        <w:t>Forrás: Nagyné dr. Kelemen Mária</w:t>
      </w:r>
    </w:p>
    <w:p w:rsidR="00A67CD2" w:rsidRDefault="00A67CD2" w:rsidP="00A67CD2">
      <w:pPr>
        <w:rPr>
          <w:i/>
          <w:highlight w:val="yellow"/>
        </w:rPr>
      </w:pPr>
    </w:p>
    <w:p w:rsidR="006657A6" w:rsidRPr="001111BA" w:rsidRDefault="006657A6" w:rsidP="00A67CD2">
      <w:pPr>
        <w:rPr>
          <w:i/>
          <w:highlight w:val="yellow"/>
        </w:rPr>
      </w:pPr>
    </w:p>
    <w:p w:rsidR="00E507D5" w:rsidRPr="001111BA" w:rsidRDefault="00E507D5" w:rsidP="00E507D5">
      <w:pPr>
        <w:jc w:val="both"/>
        <w:rPr>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E507D5" w:rsidRPr="001111BA" w:rsidTr="009C1915">
        <w:tc>
          <w:tcPr>
            <w:tcW w:w="9212" w:type="dxa"/>
            <w:shd w:val="clear" w:color="auto" w:fill="C2D69B"/>
          </w:tcPr>
          <w:p w:rsidR="00E507D5" w:rsidRPr="001111BA" w:rsidRDefault="00BB7872" w:rsidP="00F2165E">
            <w:pPr>
              <w:pStyle w:val="Listaszerbekezds"/>
              <w:numPr>
                <w:ilvl w:val="1"/>
                <w:numId w:val="12"/>
              </w:numPr>
              <w:spacing w:after="0" w:line="240" w:lineRule="auto"/>
              <w:jc w:val="both"/>
              <w:rPr>
                <w:rFonts w:ascii="Times New Roman" w:hAnsi="Times New Roman"/>
                <w:b/>
                <w:bCs/>
                <w:sz w:val="24"/>
                <w:szCs w:val="24"/>
              </w:rPr>
            </w:pPr>
            <w:r w:rsidRPr="001111BA">
              <w:rPr>
                <w:rFonts w:ascii="Times New Roman" w:hAnsi="Times New Roman"/>
                <w:b/>
                <w:bCs/>
                <w:sz w:val="24"/>
                <w:szCs w:val="24"/>
              </w:rPr>
              <w:t>Párhuzamos import, származtatott engedély</w:t>
            </w:r>
          </w:p>
        </w:tc>
      </w:tr>
    </w:tbl>
    <w:p w:rsidR="00E507D5" w:rsidRPr="001111BA" w:rsidRDefault="00E507D5" w:rsidP="00E507D5">
      <w:pPr>
        <w:rPr>
          <w:i/>
          <w:highlight w:val="yellow"/>
        </w:rPr>
      </w:pPr>
    </w:p>
    <w:p w:rsidR="00E507D5" w:rsidRPr="001111BA" w:rsidRDefault="00E507D5" w:rsidP="00E507D5">
      <w:pPr>
        <w:jc w:val="both"/>
        <w:rPr>
          <w:highlight w:val="yellow"/>
        </w:rPr>
      </w:pPr>
      <w:r w:rsidRPr="001111BA">
        <w:t xml:space="preserve">Ha egy készítmény (referencia szer) felülvizsgálaton esett át (Step 2), akkor a készítmény korábbi okiratát a hatóság visszavonja. Új engedélyszámmal a készítmény új engedélyt kap. A felülvizsgálat előtt kiadott – és a </w:t>
      </w:r>
      <w:r w:rsidRPr="001111BA">
        <w:rPr>
          <w:b/>
        </w:rPr>
        <w:t>felülvizsgálat előtti engedély számra hivatkozó - származtatott engedélyek (klón engedélyek)</w:t>
      </w:r>
      <w:r w:rsidR="00540E5D">
        <w:rPr>
          <w:b/>
        </w:rPr>
        <w:t>,</w:t>
      </w:r>
      <w:r w:rsidRPr="001111BA">
        <w:rPr>
          <w:b/>
        </w:rPr>
        <w:t xml:space="preserve"> valamint a parallel import engedélyek automatikusan megszűnnek</w:t>
      </w:r>
      <w:r w:rsidRPr="001111BA">
        <w:t xml:space="preserve">. </w:t>
      </w:r>
    </w:p>
    <w:p w:rsidR="00E83EEC" w:rsidRPr="001111BA" w:rsidRDefault="00E83EEC" w:rsidP="00E507D5">
      <w:pPr>
        <w:jc w:val="both"/>
      </w:pPr>
    </w:p>
    <w:p w:rsidR="00E507D5" w:rsidRPr="001111BA" w:rsidRDefault="00E507D5" w:rsidP="00E507D5">
      <w:pPr>
        <w:jc w:val="both"/>
        <w:rPr>
          <w:color w:val="000000"/>
          <w:highlight w:val="yellow"/>
        </w:rPr>
      </w:pPr>
      <w:r w:rsidRPr="001111BA">
        <w:t>A visszavont párhuzamos import engedélyekre a hatóság a tulajdonosoknak az értékesítési láncban meglévő készletek forgalmazására és felhasználás</w:t>
      </w:r>
      <w:r w:rsidR="00540E5D">
        <w:t>á</w:t>
      </w:r>
      <w:r w:rsidRPr="001111BA">
        <w:t>ra türelmi időt biztosít. Amennyiben a párhuzamos import engedélyese a készítményét tovább szeretné forgalmazni, mint amennyi a türelmi időben biztosítva lett, úgy új engedélyezési eljárást kell kérelmeznie.</w:t>
      </w:r>
    </w:p>
    <w:p w:rsidR="00E507D5" w:rsidRPr="001111BA" w:rsidRDefault="00E507D5" w:rsidP="00082497">
      <w:pPr>
        <w:jc w:val="both"/>
        <w:rPr>
          <w:color w:val="000000"/>
          <w:highlight w:val="yellow"/>
        </w:rPr>
      </w:pPr>
    </w:p>
    <w:p w:rsidR="00BB7872" w:rsidRPr="001111BA" w:rsidRDefault="00BB7872" w:rsidP="00082497">
      <w:pPr>
        <w:jc w:val="both"/>
        <w:rPr>
          <w:i/>
        </w:rPr>
      </w:pPr>
      <w:r w:rsidRPr="001111BA">
        <w:rPr>
          <w:i/>
        </w:rPr>
        <w:t xml:space="preserve">Forrás: </w:t>
      </w:r>
      <w:r w:rsidR="00AE5AB2">
        <w:rPr>
          <w:i/>
        </w:rPr>
        <w:t>Varga-</w:t>
      </w:r>
      <w:r w:rsidRPr="001111BA">
        <w:rPr>
          <w:i/>
        </w:rPr>
        <w:t>Bagi Nóra Andrea</w:t>
      </w:r>
    </w:p>
    <w:p w:rsidR="00BB7872" w:rsidRPr="001111BA" w:rsidRDefault="00BB7872" w:rsidP="00082497">
      <w:pPr>
        <w:jc w:val="both"/>
      </w:pPr>
    </w:p>
    <w:p w:rsidR="00BB7872" w:rsidRDefault="00BB7872" w:rsidP="00082497">
      <w:pPr>
        <w:jc w:val="both"/>
        <w:rPr>
          <w:color w:val="000000"/>
          <w:highlight w:val="yellow"/>
        </w:rPr>
      </w:pPr>
    </w:p>
    <w:p w:rsidR="006657A6" w:rsidRDefault="006657A6" w:rsidP="00082497">
      <w:pPr>
        <w:jc w:val="both"/>
        <w:rPr>
          <w:color w:val="000000"/>
          <w:highlight w:val="yellow"/>
        </w:rPr>
      </w:pPr>
    </w:p>
    <w:p w:rsidR="006657A6" w:rsidRDefault="006657A6" w:rsidP="00082497">
      <w:pPr>
        <w:jc w:val="both"/>
        <w:rPr>
          <w:color w:val="000000"/>
          <w:highlight w:val="yellow"/>
        </w:rPr>
      </w:pPr>
    </w:p>
    <w:p w:rsidR="006657A6" w:rsidRDefault="006657A6" w:rsidP="00082497">
      <w:pPr>
        <w:jc w:val="both"/>
        <w:rPr>
          <w:color w:val="000000"/>
          <w:highlight w:val="yellow"/>
        </w:rPr>
      </w:pPr>
    </w:p>
    <w:p w:rsidR="006657A6" w:rsidRDefault="006657A6" w:rsidP="00082497">
      <w:pPr>
        <w:jc w:val="both"/>
        <w:rPr>
          <w:color w:val="000000"/>
          <w:highlight w:val="yellow"/>
        </w:rPr>
      </w:pPr>
    </w:p>
    <w:p w:rsidR="006657A6" w:rsidRPr="001111BA" w:rsidRDefault="006657A6" w:rsidP="00082497">
      <w:pPr>
        <w:jc w:val="both"/>
        <w:rPr>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A67CD2" w:rsidRPr="001111BA" w:rsidTr="00F21D14">
        <w:tc>
          <w:tcPr>
            <w:tcW w:w="9212" w:type="dxa"/>
            <w:shd w:val="clear" w:color="auto" w:fill="C2D69B"/>
          </w:tcPr>
          <w:p w:rsidR="00A67CD2" w:rsidRPr="001111BA" w:rsidRDefault="0019777E" w:rsidP="00F2165E">
            <w:pPr>
              <w:pStyle w:val="Listaszerbekezds"/>
              <w:numPr>
                <w:ilvl w:val="1"/>
                <w:numId w:val="12"/>
              </w:numPr>
              <w:spacing w:after="0" w:line="240" w:lineRule="auto"/>
              <w:jc w:val="both"/>
              <w:rPr>
                <w:rFonts w:ascii="Times New Roman" w:hAnsi="Times New Roman"/>
                <w:b/>
                <w:bCs/>
                <w:sz w:val="24"/>
                <w:szCs w:val="24"/>
              </w:rPr>
            </w:pPr>
            <w:r w:rsidRPr="001111BA">
              <w:rPr>
                <w:rFonts w:ascii="Times New Roman" w:hAnsi="Times New Roman"/>
                <w:b/>
                <w:bCs/>
                <w:sz w:val="24"/>
                <w:szCs w:val="24"/>
              </w:rPr>
              <w:lastRenderedPageBreak/>
              <w:t>Készítmények e</w:t>
            </w:r>
            <w:r w:rsidR="009C1915" w:rsidRPr="001111BA">
              <w:rPr>
                <w:rFonts w:ascii="Times New Roman" w:hAnsi="Times New Roman"/>
                <w:b/>
                <w:bCs/>
                <w:sz w:val="24"/>
                <w:szCs w:val="24"/>
              </w:rPr>
              <w:t>ltarthatóság</w:t>
            </w:r>
            <w:r w:rsidRPr="001111BA">
              <w:rPr>
                <w:rFonts w:ascii="Times New Roman" w:hAnsi="Times New Roman"/>
                <w:b/>
                <w:bCs/>
                <w:sz w:val="24"/>
                <w:szCs w:val="24"/>
              </w:rPr>
              <w:t>a</w:t>
            </w:r>
          </w:p>
        </w:tc>
      </w:tr>
    </w:tbl>
    <w:p w:rsidR="00A67CD2" w:rsidRPr="001111BA" w:rsidRDefault="00A67CD2" w:rsidP="00766944">
      <w:pPr>
        <w:rPr>
          <w:i/>
          <w:highlight w:val="yellow"/>
        </w:rPr>
      </w:pPr>
    </w:p>
    <w:p w:rsidR="009C1915" w:rsidRPr="001111BA" w:rsidRDefault="009C1915" w:rsidP="009C1915">
      <w:pPr>
        <w:spacing w:line="276" w:lineRule="auto"/>
        <w:jc w:val="both"/>
      </w:pPr>
      <w:r w:rsidRPr="001111BA">
        <w:t xml:space="preserve">Az elmúlt időszakban számos kérdés merült fel az eltarthatósági idő meghatározásával és a kiszerelésnél használható csomagolóanyagokkal kapcsolatban. Az alábbiakban tisztázni szeretnénk néhány alapelvet, illetve kifejteni a felmerült kérdésekkel kapcsolatos véleményünket. </w:t>
      </w:r>
    </w:p>
    <w:p w:rsidR="009C1915" w:rsidRPr="001111BA" w:rsidRDefault="009C1915" w:rsidP="009C1915">
      <w:pPr>
        <w:spacing w:line="276" w:lineRule="auto"/>
        <w:jc w:val="both"/>
      </w:pPr>
    </w:p>
    <w:p w:rsidR="009C1915" w:rsidRPr="001111BA" w:rsidRDefault="009C1915" w:rsidP="009C1915">
      <w:pPr>
        <w:spacing w:line="276" w:lineRule="auto"/>
        <w:jc w:val="both"/>
      </w:pPr>
      <w:r w:rsidRPr="001111BA">
        <w:tab/>
        <w:t>Az eltarthatósági idő meghatározásánál alapelv, hogy a megfelelően elvégzett és elfogadott gyorsított eljárású vizsgálat alapján maximum 2 év adható. Ebben az esetben megerősítő adatként kérjük be a folyamatban lévő, illetve tervezett 2 éves GLP</w:t>
      </w:r>
      <w:r w:rsidR="007F06EF" w:rsidRPr="001111BA">
        <w:t>-</w:t>
      </w:r>
      <w:r w:rsidRPr="001111BA">
        <w:t xml:space="preserve">vizsgálatot. Ha ennél hosszabb eltarthatósági időt kérelmez a gyártó, akkor köteles benyújtani a 2 éves környezeti hőmérsékleten történő tárolási stabilitási vizsgálatot, legkésőbb az értékelési folyamat lezárásáig. A készítmény csak ennek értékelése és elfogadása után kaphat 2 évnél hosszabb eltarthatósági időt, amiért természetesen az engedélytulajdonosnak kell vállalni a felelősséget. </w:t>
      </w:r>
    </w:p>
    <w:p w:rsidR="009C1915" w:rsidRPr="001111BA" w:rsidRDefault="009C1915" w:rsidP="009C1915">
      <w:pPr>
        <w:spacing w:line="276" w:lineRule="auto"/>
        <w:jc w:val="both"/>
      </w:pPr>
      <w:r w:rsidRPr="001111BA">
        <w:tab/>
        <w:t>Abban az esetben, ha változik az eltarthatósági idő a terméket kiegészítő címkével kell ellátni.</w:t>
      </w:r>
    </w:p>
    <w:p w:rsidR="009C1915" w:rsidRPr="001111BA" w:rsidRDefault="009C1915" w:rsidP="009C1915">
      <w:pPr>
        <w:spacing w:line="276" w:lineRule="auto"/>
        <w:jc w:val="both"/>
      </w:pPr>
    </w:p>
    <w:p w:rsidR="009C1915" w:rsidRPr="001111BA" w:rsidRDefault="009C1915" w:rsidP="009C1915">
      <w:pPr>
        <w:spacing w:line="276" w:lineRule="auto"/>
        <w:jc w:val="both"/>
      </w:pPr>
      <w:r w:rsidRPr="001111BA">
        <w:t xml:space="preserve">Hatóságunk a </w:t>
      </w:r>
      <w:r w:rsidR="00B63C02">
        <w:t xml:space="preserve">felügyelő </w:t>
      </w:r>
      <w:r w:rsidRPr="001111BA">
        <w:t xml:space="preserve"> koll</w:t>
      </w:r>
      <w:r w:rsidR="003A69C7">
        <w:t>é</w:t>
      </w:r>
      <w:r w:rsidRPr="001111BA">
        <w:t>gákkal közösen 2014-ben ellenőrizte a kiszerelők/bérkiszerelők munkáját, 2015-ben</w:t>
      </w:r>
      <w:r w:rsidR="00141380">
        <w:t xml:space="preserve"> pedig különös figyelmet fordítottak </w:t>
      </w:r>
      <w:r w:rsidRPr="001111BA">
        <w:t xml:space="preserve"> a kis kiszerelések – </w:t>
      </w:r>
      <w:r w:rsidR="00141380">
        <w:t xml:space="preserve">főleg </w:t>
      </w:r>
      <w:r w:rsidRPr="001111BA">
        <w:t>az ampullák – kiszerelési egységeinek és jelöléseinek vizsgálatára. Az egyértelműen megállapítható, hogy a továbbforgalmazás jogát nagyon sok engedélytulajdonos odaadja olyan piaci szereplőknek, akik nem feltétlenül ismerik a vonatkozó jogszabályokat. A nyomon követhetőség a legtöbb esetben nem biztosított.</w:t>
      </w:r>
    </w:p>
    <w:p w:rsidR="009C1915" w:rsidRPr="001111BA" w:rsidRDefault="009C1915" w:rsidP="009C1915">
      <w:pPr>
        <w:spacing w:line="276" w:lineRule="auto"/>
        <w:jc w:val="both"/>
      </w:pPr>
      <w:r w:rsidRPr="001111BA">
        <w:tab/>
        <w:t>Azoknak az ügyfeleknek, akiknek az engedélyokiratában nem szerepel még a jelenleg forgalmazott kiszerelések és azokhoz tartozó csomagolóeszközök anyagának megnevezése, külön értesítést kap</w:t>
      </w:r>
      <w:r w:rsidR="00E04E17" w:rsidRPr="001111BA">
        <w:t>t</w:t>
      </w:r>
      <w:r w:rsidRPr="001111BA">
        <w:t>ak a hiánypótlással kapcsolatban. A hiánypótlás határideje 2015.12.31.</w:t>
      </w:r>
      <w:r w:rsidR="00E04E17" w:rsidRPr="001111BA">
        <w:t xml:space="preserve"> volt.</w:t>
      </w:r>
    </w:p>
    <w:p w:rsidR="009C1915" w:rsidRPr="001111BA" w:rsidRDefault="009C1915" w:rsidP="009C1915">
      <w:pPr>
        <w:spacing w:line="276" w:lineRule="auto"/>
        <w:jc w:val="both"/>
      </w:pPr>
      <w:r w:rsidRPr="001111BA">
        <w:tab/>
        <w:t xml:space="preserve">Az ampullás kiszerelések ellenőrzésének tapasztalatai azt mutatják, hogy pontosítani kell az engedélyokiratokban a kiszerelések feltüntetését. </w:t>
      </w:r>
    </w:p>
    <w:p w:rsidR="009C1915" w:rsidRPr="001111BA" w:rsidRDefault="009C1915" w:rsidP="009C1915">
      <w:pPr>
        <w:spacing w:line="276" w:lineRule="auto"/>
        <w:jc w:val="both"/>
      </w:pPr>
      <w:r w:rsidRPr="001111BA">
        <w:tab/>
      </w:r>
      <w:r w:rsidRPr="001111BA">
        <w:tab/>
      </w:r>
      <w:r w:rsidRPr="001111BA">
        <w:rPr>
          <w:b/>
        </w:rPr>
        <w:t>Azok az engedélytulajdonosok, akiknek adott készítmény engedélyokiratában ugyan nem szerepel, de jelenleg forgalmaz ampullás kiszerelést, kérjük, mihamarabb kérvényezzék az engedélyokirat módosítás</w:t>
      </w:r>
      <w:r w:rsidR="007F06EF" w:rsidRPr="001111BA">
        <w:rPr>
          <w:b/>
        </w:rPr>
        <w:t>á</w:t>
      </w:r>
      <w:r w:rsidRPr="001111BA">
        <w:rPr>
          <w:b/>
        </w:rPr>
        <w:t>t</w:t>
      </w:r>
      <w:r w:rsidRPr="001111BA">
        <w:t xml:space="preserve">. </w:t>
      </w:r>
    </w:p>
    <w:p w:rsidR="009C1915" w:rsidRPr="001111BA" w:rsidRDefault="009C1915" w:rsidP="009C1915">
      <w:pPr>
        <w:spacing w:line="276" w:lineRule="auto"/>
        <w:jc w:val="both"/>
      </w:pPr>
      <w:r w:rsidRPr="001111BA">
        <w:tab/>
      </w:r>
      <w:r w:rsidRPr="001111BA">
        <w:tab/>
        <w:t xml:space="preserve">Abban az esetben, ha az engedélyokirat tartalmaz például 3 ml-es kiszerelést, és a készítmény 1 x 3 ml-es, 3 x 3 ml-es, illetve 5 x 3 ml-es csomagolásba kerül, kérjük, a jelen példának megfelelően kérelmezzék az okirat módosítását. Felhívjuk a figyelmet, hogy például az 5 x 3 ml-es kiszerelés ampullái önállóan nem hozhatóak forgalomba, ezért az ilyen kiszerelés nem tekinthető gyűjtőcsomagolásnak. </w:t>
      </w:r>
    </w:p>
    <w:p w:rsidR="005F5AD9" w:rsidRPr="001111BA" w:rsidRDefault="009C1915" w:rsidP="009C1915">
      <w:pPr>
        <w:jc w:val="both"/>
      </w:pPr>
      <w:r w:rsidRPr="001111BA">
        <w:tab/>
        <w:t>A fentiekhez hasonlóan kell megadni a kiszerelést minden olyan esetben, ahol a kiszerelési egység nem képez önálló kereskedelmi egységet.</w:t>
      </w:r>
    </w:p>
    <w:p w:rsidR="009C1915" w:rsidRPr="001111BA" w:rsidRDefault="009C1915" w:rsidP="009C1915">
      <w:pPr>
        <w:jc w:val="both"/>
      </w:pPr>
    </w:p>
    <w:p w:rsidR="00D203DE" w:rsidRPr="001111BA" w:rsidRDefault="00D203DE" w:rsidP="009C1915">
      <w:pPr>
        <w:jc w:val="both"/>
        <w:rPr>
          <w:i/>
        </w:rPr>
      </w:pPr>
      <w:r w:rsidRPr="001111BA">
        <w:rPr>
          <w:i/>
        </w:rPr>
        <w:t xml:space="preserve">Forrás: </w:t>
      </w:r>
      <w:r w:rsidR="0093450F" w:rsidRPr="001111BA">
        <w:rPr>
          <w:i/>
        </w:rPr>
        <w:t>Botyánszk</w:t>
      </w:r>
      <w:r w:rsidR="00AE5AB2">
        <w:rPr>
          <w:i/>
        </w:rPr>
        <w:t>i</w:t>
      </w:r>
      <w:r w:rsidR="0093450F" w:rsidRPr="001111BA">
        <w:rPr>
          <w:i/>
        </w:rPr>
        <w:t xml:space="preserve"> Adrienn</w:t>
      </w:r>
    </w:p>
    <w:p w:rsidR="000611A4" w:rsidRPr="001111BA" w:rsidRDefault="000611A4" w:rsidP="009C1915">
      <w:pPr>
        <w:jc w:val="both"/>
      </w:pPr>
    </w:p>
    <w:p w:rsidR="009C1915" w:rsidRDefault="009C1915" w:rsidP="009C1915">
      <w:pPr>
        <w:jc w:val="both"/>
        <w:rPr>
          <w:color w:val="000000"/>
          <w:highlight w:val="yellow"/>
        </w:rPr>
      </w:pPr>
    </w:p>
    <w:p w:rsidR="006657A6" w:rsidRDefault="006657A6" w:rsidP="009C1915">
      <w:pPr>
        <w:jc w:val="both"/>
        <w:rPr>
          <w:color w:val="000000"/>
          <w:highlight w:val="yellow"/>
        </w:rPr>
      </w:pPr>
    </w:p>
    <w:p w:rsidR="006657A6" w:rsidRDefault="006657A6" w:rsidP="009C1915">
      <w:pPr>
        <w:jc w:val="both"/>
        <w:rPr>
          <w:color w:val="000000"/>
          <w:highlight w:val="yellow"/>
        </w:rPr>
      </w:pPr>
    </w:p>
    <w:p w:rsidR="006657A6" w:rsidRDefault="006657A6" w:rsidP="009C1915">
      <w:pPr>
        <w:jc w:val="both"/>
        <w:rPr>
          <w:color w:val="000000"/>
          <w:highlight w:val="yellow"/>
        </w:rPr>
      </w:pPr>
    </w:p>
    <w:p w:rsidR="006657A6" w:rsidRDefault="006657A6" w:rsidP="009C1915">
      <w:pPr>
        <w:jc w:val="both"/>
        <w:rPr>
          <w:color w:val="000000"/>
          <w:highlight w:val="yellow"/>
        </w:rPr>
      </w:pPr>
    </w:p>
    <w:p w:rsidR="006657A6" w:rsidRDefault="006657A6" w:rsidP="009C1915">
      <w:pPr>
        <w:jc w:val="both"/>
        <w:rPr>
          <w:color w:val="000000"/>
          <w:highlight w:val="yellow"/>
        </w:rPr>
      </w:pPr>
    </w:p>
    <w:p w:rsidR="006657A6" w:rsidRPr="001111BA" w:rsidRDefault="006657A6" w:rsidP="009C1915">
      <w:pPr>
        <w:jc w:val="both"/>
        <w:rPr>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5F5AD9" w:rsidRPr="001111BA" w:rsidTr="005F5AD9">
        <w:tc>
          <w:tcPr>
            <w:tcW w:w="9212" w:type="dxa"/>
            <w:shd w:val="clear" w:color="auto" w:fill="C2D69B"/>
          </w:tcPr>
          <w:p w:rsidR="005F5AD9" w:rsidRPr="001111BA" w:rsidRDefault="00AE5AB2" w:rsidP="00AE5AB2">
            <w:pPr>
              <w:pStyle w:val="Listaszerbekezds"/>
              <w:numPr>
                <w:ilvl w:val="1"/>
                <w:numId w:val="12"/>
              </w:numPr>
              <w:spacing w:after="0" w:line="240" w:lineRule="auto"/>
              <w:jc w:val="both"/>
              <w:rPr>
                <w:rFonts w:ascii="Times New Roman" w:hAnsi="Times New Roman"/>
                <w:b/>
                <w:bCs/>
                <w:sz w:val="24"/>
                <w:szCs w:val="24"/>
              </w:rPr>
            </w:pPr>
            <w:r>
              <w:rPr>
                <w:rFonts w:ascii="Times New Roman" w:hAnsi="Times New Roman"/>
                <w:b/>
                <w:bCs/>
                <w:sz w:val="24"/>
                <w:szCs w:val="24"/>
              </w:rPr>
              <w:lastRenderedPageBreak/>
              <w:t>Kereskedelmi g</w:t>
            </w:r>
            <w:r w:rsidR="005F5AD9" w:rsidRPr="001111BA">
              <w:rPr>
                <w:rFonts w:ascii="Times New Roman" w:hAnsi="Times New Roman"/>
                <w:b/>
                <w:bCs/>
                <w:sz w:val="24"/>
                <w:szCs w:val="24"/>
              </w:rPr>
              <w:t>y</w:t>
            </w:r>
            <w:r w:rsidR="00D73715" w:rsidRPr="001111BA">
              <w:rPr>
                <w:rFonts w:ascii="Times New Roman" w:hAnsi="Times New Roman"/>
                <w:b/>
                <w:bCs/>
                <w:sz w:val="24"/>
                <w:szCs w:val="24"/>
              </w:rPr>
              <w:t>ű</w:t>
            </w:r>
            <w:r w:rsidR="005F5AD9" w:rsidRPr="001111BA">
              <w:rPr>
                <w:rFonts w:ascii="Times New Roman" w:hAnsi="Times New Roman"/>
                <w:b/>
                <w:bCs/>
                <w:sz w:val="24"/>
                <w:szCs w:val="24"/>
              </w:rPr>
              <w:t>jtőcsomag hozzájárulások</w:t>
            </w:r>
          </w:p>
        </w:tc>
      </w:tr>
    </w:tbl>
    <w:p w:rsidR="005F5AD9" w:rsidRPr="001111BA" w:rsidRDefault="005F5AD9" w:rsidP="005F5AD9"/>
    <w:p w:rsidR="00832EF0" w:rsidRPr="001111BA" w:rsidRDefault="00832EF0" w:rsidP="00832EF0">
      <w:pPr>
        <w:jc w:val="both"/>
      </w:pPr>
      <w:r w:rsidRPr="001111BA">
        <w:rPr>
          <w:iCs/>
        </w:rPr>
        <w:t xml:space="preserve">A </w:t>
      </w:r>
      <w:r w:rsidRPr="001111BA">
        <w:rPr>
          <w:i/>
          <w:iCs/>
        </w:rPr>
        <w:t xml:space="preserve">89/2004. FVM rendelet </w:t>
      </w:r>
      <w:r w:rsidRPr="001111BA">
        <w:rPr>
          <w:bCs/>
        </w:rPr>
        <w:t>2.</w:t>
      </w:r>
      <w:r w:rsidRPr="001111BA">
        <w:rPr>
          <w:b/>
          <w:bCs/>
        </w:rPr>
        <w:t xml:space="preserve"> § </w:t>
      </w:r>
      <w:r w:rsidR="00681135" w:rsidRPr="00681135">
        <w:rPr>
          <w:b/>
          <w:bCs/>
          <w:i/>
        </w:rPr>
        <w:t>(</w:t>
      </w:r>
      <w:r w:rsidR="00681135" w:rsidRPr="00681135">
        <w:rPr>
          <w:i/>
        </w:rPr>
        <w:t>5)</w:t>
      </w:r>
      <w:r w:rsidRPr="001111BA">
        <w:t>.</w:t>
      </w:r>
      <w:r w:rsidR="00C12D7B">
        <w:t>,</w:t>
      </w:r>
      <w:r w:rsidRPr="001111BA">
        <w:t xml:space="preserve"> valamint </w:t>
      </w:r>
      <w:r w:rsidRPr="001111BA">
        <w:rPr>
          <w:i/>
          <w:iCs/>
        </w:rPr>
        <w:t>9. § (2)</w:t>
      </w:r>
      <w:r w:rsidRPr="001111BA">
        <w:rPr>
          <w:iCs/>
        </w:rPr>
        <w:t xml:space="preserve"> bekezdésének</w:t>
      </w:r>
      <w:r w:rsidRPr="001111BA">
        <w:rPr>
          <w:i/>
          <w:iCs/>
        </w:rPr>
        <w:t xml:space="preserve"> </w:t>
      </w:r>
      <w:r w:rsidRPr="001111BA">
        <w:rPr>
          <w:iCs/>
        </w:rPr>
        <w:t xml:space="preserve">értelmében, a </w:t>
      </w:r>
      <w:r w:rsidRPr="001111BA">
        <w:t xml:space="preserve">kereskedelmi gyűjtőcsomagban történő forgalmazás tényét a tevékenység megkezdése előtt az engedélyező hatósághoz be kell jelenteni. A </w:t>
      </w:r>
      <w:r w:rsidRPr="001111BA">
        <w:rPr>
          <w:iCs/>
        </w:rPr>
        <w:t xml:space="preserve">kereskedelmi gyűjtőcsomagban </w:t>
      </w:r>
      <w:r w:rsidRPr="001111BA">
        <w:t xml:space="preserve">azonos vagy különböző rendeltetésű, </w:t>
      </w:r>
      <w:r w:rsidRPr="001111BA">
        <w:rPr>
          <w:b/>
          <w:i/>
        </w:rPr>
        <w:t>kizárólag engedélyköteles termékek hozhatók forgalomba</w:t>
      </w:r>
      <w:r w:rsidR="00C12D7B">
        <w:rPr>
          <w:b/>
        </w:rPr>
        <w:t xml:space="preserve"> </w:t>
      </w:r>
      <w:r w:rsidR="00681135" w:rsidRPr="00681135">
        <w:t>és csak az</w:t>
      </w:r>
      <w:r w:rsidRPr="001111BA">
        <w:t xml:space="preserve"> engedélyokirat</w:t>
      </w:r>
      <w:r w:rsidR="00C12D7B">
        <w:t>uk</w:t>
      </w:r>
      <w:r w:rsidRPr="001111BA">
        <w:t xml:space="preserve"> érvényességi idejéig. A kereskedelmi gyűjtőcsomagban lévő egyedi kiszerelések az engedélyokiratuk alapján önálló értékesítési egységként is forgalomba hozhatók a</w:t>
      </w:r>
      <w:r w:rsidR="00141380">
        <w:t xml:space="preserve"> gyűjtőcsomagot bejelentő </w:t>
      </w:r>
      <w:r w:rsidRPr="001111BA">
        <w:t xml:space="preserve"> ügyfél hozzájárulásával.</w:t>
      </w:r>
    </w:p>
    <w:p w:rsidR="00832EF0" w:rsidRPr="001111BA" w:rsidRDefault="00832EF0" w:rsidP="00832EF0">
      <w:pPr>
        <w:jc w:val="both"/>
      </w:pPr>
    </w:p>
    <w:p w:rsidR="00832EF0" w:rsidRPr="001111BA" w:rsidRDefault="00832EF0" w:rsidP="00832EF0">
      <w:pPr>
        <w:jc w:val="both"/>
      </w:pPr>
      <w:r w:rsidRPr="001111BA">
        <w:t>A bejelentésnek tartalmaznia kell:</w:t>
      </w:r>
    </w:p>
    <w:p w:rsidR="00832EF0" w:rsidRPr="001111BA" w:rsidRDefault="00832EF0" w:rsidP="00832EF0">
      <w:pPr>
        <w:pStyle w:val="Listaszerbekezds"/>
        <w:numPr>
          <w:ilvl w:val="0"/>
          <w:numId w:val="24"/>
        </w:numPr>
        <w:spacing w:after="0" w:line="240" w:lineRule="auto"/>
        <w:jc w:val="both"/>
        <w:rPr>
          <w:rFonts w:ascii="Times New Roman" w:eastAsia="Times New Roman" w:hAnsi="Times New Roman"/>
          <w:sz w:val="24"/>
          <w:szCs w:val="24"/>
          <w:lang w:eastAsia="hu-HU"/>
        </w:rPr>
      </w:pPr>
      <w:r w:rsidRPr="001111BA">
        <w:rPr>
          <w:rFonts w:ascii="Times New Roman" w:eastAsia="Times New Roman" w:hAnsi="Times New Roman"/>
          <w:sz w:val="24"/>
          <w:szCs w:val="24"/>
          <w:lang w:eastAsia="hu-HU"/>
        </w:rPr>
        <w:t>a csomagolásban lévő készítmények engedélyesének adatait és hozzájáruló nyilatkozatát,</w:t>
      </w:r>
    </w:p>
    <w:p w:rsidR="00832EF0" w:rsidRPr="001111BA" w:rsidRDefault="00832EF0" w:rsidP="00832EF0">
      <w:pPr>
        <w:pStyle w:val="Listaszerbekezds"/>
        <w:numPr>
          <w:ilvl w:val="0"/>
          <w:numId w:val="24"/>
        </w:numPr>
        <w:spacing w:after="0" w:line="240" w:lineRule="auto"/>
        <w:jc w:val="both"/>
        <w:rPr>
          <w:rFonts w:ascii="Times New Roman" w:eastAsia="Times New Roman" w:hAnsi="Times New Roman"/>
          <w:sz w:val="24"/>
          <w:szCs w:val="24"/>
          <w:lang w:eastAsia="hu-HU"/>
        </w:rPr>
      </w:pPr>
      <w:r w:rsidRPr="001111BA">
        <w:rPr>
          <w:rFonts w:ascii="Times New Roman" w:eastAsia="Times New Roman" w:hAnsi="Times New Roman"/>
          <w:sz w:val="24"/>
          <w:szCs w:val="24"/>
          <w:lang w:eastAsia="hu-HU"/>
        </w:rPr>
        <w:t>a kiszerelésben lévő készítmények elfogadott címkéjét,</w:t>
      </w:r>
    </w:p>
    <w:p w:rsidR="00832EF0" w:rsidRPr="001111BA" w:rsidRDefault="00832EF0" w:rsidP="00832EF0">
      <w:pPr>
        <w:pStyle w:val="Listaszerbekezds"/>
        <w:numPr>
          <w:ilvl w:val="0"/>
          <w:numId w:val="24"/>
        </w:numPr>
        <w:spacing w:after="0" w:line="240" w:lineRule="auto"/>
        <w:jc w:val="both"/>
        <w:rPr>
          <w:rFonts w:ascii="Times New Roman" w:eastAsia="Times New Roman" w:hAnsi="Times New Roman"/>
          <w:sz w:val="24"/>
          <w:szCs w:val="24"/>
          <w:lang w:eastAsia="hu-HU"/>
        </w:rPr>
      </w:pPr>
      <w:r w:rsidRPr="001111BA">
        <w:rPr>
          <w:rFonts w:ascii="Times New Roman" w:eastAsia="Times New Roman" w:hAnsi="Times New Roman"/>
          <w:sz w:val="24"/>
          <w:szCs w:val="24"/>
          <w:lang w:eastAsia="hu-HU"/>
        </w:rPr>
        <w:t>a bejelentő és a kiszerelést, illetve csomagolást végző adatait.</w:t>
      </w:r>
    </w:p>
    <w:p w:rsidR="00832EF0" w:rsidRPr="001111BA" w:rsidRDefault="00832EF0" w:rsidP="00832EF0">
      <w:pPr>
        <w:jc w:val="both"/>
      </w:pPr>
    </w:p>
    <w:p w:rsidR="00832EF0" w:rsidRPr="001111BA" w:rsidRDefault="00832EF0" w:rsidP="00832EF0">
      <w:pPr>
        <w:jc w:val="both"/>
      </w:pPr>
      <w:r w:rsidRPr="001111BA">
        <w:t xml:space="preserve">A hatóság a kereskedelmi gyűjtőcsomag forgalomba hozatalának bejelentéséről </w:t>
      </w:r>
      <w:r w:rsidR="00F0692C">
        <w:t xml:space="preserve">a </w:t>
      </w:r>
      <w:r w:rsidRPr="001111BA">
        <w:t xml:space="preserve">jóváhagyást követően </w:t>
      </w:r>
      <w:r w:rsidRPr="001111BA">
        <w:rPr>
          <w:b/>
        </w:rPr>
        <w:t>egyszerűsített határozatot</w:t>
      </w:r>
      <w:r w:rsidRPr="001111BA">
        <w:t xml:space="preserve"> állít ki. </w:t>
      </w:r>
    </w:p>
    <w:p w:rsidR="00832EF0" w:rsidRPr="001111BA" w:rsidRDefault="00832EF0" w:rsidP="00832EF0">
      <w:pPr>
        <w:jc w:val="both"/>
      </w:pPr>
    </w:p>
    <w:p w:rsidR="00832EF0" w:rsidRPr="001111BA" w:rsidRDefault="00832EF0" w:rsidP="00832EF0">
      <w:pPr>
        <w:jc w:val="both"/>
      </w:pPr>
      <w:r w:rsidRPr="001111BA">
        <w:t xml:space="preserve">Amennyiben a hatóság nem járul hozzá a kereskedelmi gyűjtőcsomag forgalomba hozatalához, </w:t>
      </w:r>
      <w:r w:rsidR="00B74C48">
        <w:t>elutasító végzést ad ki</w:t>
      </w:r>
      <w:r w:rsidRPr="001111BA">
        <w:t>.</w:t>
      </w:r>
    </w:p>
    <w:p w:rsidR="00832EF0" w:rsidRPr="001111BA" w:rsidRDefault="00832EF0" w:rsidP="00832EF0">
      <w:pPr>
        <w:jc w:val="both"/>
      </w:pPr>
      <w:r w:rsidRPr="001111BA">
        <w:t>Elutasításra kerül, amennyiben:</w:t>
      </w:r>
    </w:p>
    <w:p w:rsidR="00832EF0" w:rsidRPr="001111BA" w:rsidRDefault="00832EF0" w:rsidP="00832EF0">
      <w:pPr>
        <w:pStyle w:val="Listaszerbekezds"/>
        <w:numPr>
          <w:ilvl w:val="0"/>
          <w:numId w:val="25"/>
        </w:numPr>
        <w:spacing w:after="0" w:line="240" w:lineRule="auto"/>
        <w:jc w:val="both"/>
        <w:rPr>
          <w:rFonts w:ascii="Times New Roman" w:eastAsia="Times New Roman" w:hAnsi="Times New Roman"/>
          <w:b/>
          <w:i/>
          <w:sz w:val="24"/>
          <w:szCs w:val="24"/>
          <w:lang w:eastAsia="hu-HU"/>
        </w:rPr>
      </w:pPr>
      <w:r w:rsidRPr="001111BA">
        <w:rPr>
          <w:rFonts w:ascii="Times New Roman" w:eastAsia="Times New Roman" w:hAnsi="Times New Roman"/>
          <w:sz w:val="24"/>
          <w:szCs w:val="24"/>
          <w:lang w:eastAsia="hu-HU"/>
        </w:rPr>
        <w:t>lejárt érvényességű készítményt tartalmaz,</w:t>
      </w:r>
    </w:p>
    <w:p w:rsidR="00832EF0" w:rsidRPr="001111BA" w:rsidRDefault="00832EF0" w:rsidP="00832EF0">
      <w:pPr>
        <w:pStyle w:val="Listaszerbekezds"/>
        <w:numPr>
          <w:ilvl w:val="0"/>
          <w:numId w:val="25"/>
        </w:numPr>
        <w:spacing w:after="0" w:line="240" w:lineRule="auto"/>
        <w:jc w:val="both"/>
        <w:rPr>
          <w:rFonts w:ascii="Times New Roman" w:eastAsia="Times New Roman" w:hAnsi="Times New Roman"/>
          <w:sz w:val="24"/>
          <w:szCs w:val="24"/>
          <w:lang w:eastAsia="hu-HU"/>
        </w:rPr>
      </w:pPr>
      <w:r w:rsidRPr="001111BA">
        <w:rPr>
          <w:rFonts w:ascii="Times New Roman" w:eastAsia="Times New Roman" w:hAnsi="Times New Roman"/>
          <w:sz w:val="24"/>
          <w:szCs w:val="24"/>
          <w:lang w:eastAsia="hu-HU"/>
        </w:rPr>
        <w:t xml:space="preserve">nem engedélyköteles termék </w:t>
      </w:r>
      <w:r w:rsidR="008B3907">
        <w:rPr>
          <w:rFonts w:ascii="Times New Roman" w:eastAsia="Times New Roman" w:hAnsi="Times New Roman"/>
          <w:sz w:val="24"/>
          <w:szCs w:val="24"/>
          <w:lang w:eastAsia="hu-HU"/>
        </w:rPr>
        <w:t xml:space="preserve">kereskedelmi </w:t>
      </w:r>
      <w:r w:rsidRPr="001111BA">
        <w:rPr>
          <w:rFonts w:ascii="Times New Roman" w:eastAsia="Times New Roman" w:hAnsi="Times New Roman"/>
          <w:sz w:val="24"/>
          <w:szCs w:val="24"/>
          <w:lang w:eastAsia="hu-HU"/>
        </w:rPr>
        <w:t>gyűjtőcsomagban történő forgalmazásának bejelentése (az EK</w:t>
      </w:r>
      <w:r w:rsidR="00B74C48">
        <w:rPr>
          <w:rFonts w:ascii="Times New Roman" w:eastAsia="Times New Roman" w:hAnsi="Times New Roman"/>
          <w:sz w:val="24"/>
          <w:szCs w:val="24"/>
          <w:lang w:eastAsia="hu-HU"/>
        </w:rPr>
        <w:t>-</w:t>
      </w:r>
      <w:r w:rsidRPr="001111BA">
        <w:rPr>
          <w:rFonts w:ascii="Times New Roman" w:eastAsia="Times New Roman" w:hAnsi="Times New Roman"/>
          <w:sz w:val="24"/>
          <w:szCs w:val="24"/>
          <w:lang w:eastAsia="hu-HU"/>
        </w:rPr>
        <w:t>műtrágya bejelentés</w:t>
      </w:r>
      <w:r w:rsidR="00B74C48">
        <w:rPr>
          <w:rFonts w:ascii="Times New Roman" w:eastAsia="Times New Roman" w:hAnsi="Times New Roman"/>
          <w:sz w:val="24"/>
          <w:szCs w:val="24"/>
          <w:lang w:eastAsia="hu-HU"/>
        </w:rPr>
        <w:t>-</w:t>
      </w:r>
      <w:r w:rsidR="00141380">
        <w:rPr>
          <w:rFonts w:ascii="Times New Roman" w:eastAsia="Times New Roman" w:hAnsi="Times New Roman"/>
          <w:sz w:val="24"/>
          <w:szCs w:val="24"/>
          <w:lang w:eastAsia="hu-HU"/>
        </w:rPr>
        <w:t>köteles termék)</w:t>
      </w:r>
    </w:p>
    <w:p w:rsidR="00832EF0" w:rsidRPr="001111BA" w:rsidRDefault="00832EF0" w:rsidP="00832EF0">
      <w:pPr>
        <w:jc w:val="both"/>
        <w:rPr>
          <w:b/>
          <w:i/>
        </w:rPr>
      </w:pPr>
    </w:p>
    <w:p w:rsidR="00832EF0" w:rsidRPr="001111BA" w:rsidRDefault="00832EF0" w:rsidP="00832EF0">
      <w:pPr>
        <w:jc w:val="both"/>
        <w:rPr>
          <w:b/>
          <w:i/>
        </w:rPr>
      </w:pPr>
      <w:r w:rsidRPr="001111BA">
        <w:t xml:space="preserve">A hatóság az adatbázisában lévő kereskedelmi gyűjtőcsomagokat felülvizsgálja. Arra kérünk minden Ügyfelet, hogy a </w:t>
      </w:r>
      <w:r w:rsidRPr="001111BA">
        <w:rPr>
          <w:b/>
          <w:i/>
        </w:rPr>
        <w:t xml:space="preserve">már nem forgalmazott kereskedelmi gyűjtőcsomagot jelentsék be hatóságunkhoz. </w:t>
      </w:r>
    </w:p>
    <w:p w:rsidR="005F5AD9" w:rsidRPr="001111BA" w:rsidRDefault="005F5AD9" w:rsidP="00832EF0"/>
    <w:p w:rsidR="005F5AD9" w:rsidRPr="001111BA" w:rsidRDefault="005F5AD9" w:rsidP="005F5AD9">
      <w:pPr>
        <w:rPr>
          <w:i/>
          <w:highlight w:val="yellow"/>
        </w:rPr>
      </w:pPr>
      <w:r w:rsidRPr="001111BA">
        <w:rPr>
          <w:i/>
        </w:rPr>
        <w:t xml:space="preserve">Forrás: </w:t>
      </w:r>
      <w:r w:rsidR="008B3907">
        <w:rPr>
          <w:i/>
        </w:rPr>
        <w:t>Varga-</w:t>
      </w:r>
      <w:r w:rsidRPr="001111BA">
        <w:rPr>
          <w:i/>
        </w:rPr>
        <w:t xml:space="preserve">Bagi Nóra </w:t>
      </w:r>
      <w:r w:rsidR="00CF770F" w:rsidRPr="001111BA">
        <w:rPr>
          <w:i/>
        </w:rPr>
        <w:t>Andrea</w:t>
      </w:r>
    </w:p>
    <w:p w:rsidR="00A67CD2" w:rsidRPr="001111BA" w:rsidRDefault="00A67CD2" w:rsidP="00766944">
      <w:pPr>
        <w:jc w:val="both"/>
        <w:rPr>
          <w:color w:val="000000"/>
          <w:highlight w:val="yellow"/>
        </w:rPr>
      </w:pPr>
    </w:p>
    <w:p w:rsidR="005F5AD9" w:rsidRPr="001111BA" w:rsidRDefault="005F5AD9" w:rsidP="00766944">
      <w:pPr>
        <w:jc w:val="both"/>
        <w:rPr>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A67CD2" w:rsidRPr="001111BA" w:rsidTr="00F21D14">
        <w:tc>
          <w:tcPr>
            <w:tcW w:w="9212" w:type="dxa"/>
            <w:shd w:val="clear" w:color="auto" w:fill="C2D69B"/>
          </w:tcPr>
          <w:p w:rsidR="00A67CD2" w:rsidRPr="001111BA" w:rsidRDefault="005678A1" w:rsidP="00E507D5">
            <w:pPr>
              <w:pStyle w:val="Listaszerbekezds"/>
              <w:numPr>
                <w:ilvl w:val="1"/>
                <w:numId w:val="12"/>
              </w:numPr>
              <w:spacing w:after="0" w:line="240" w:lineRule="auto"/>
              <w:jc w:val="both"/>
              <w:rPr>
                <w:rFonts w:ascii="Times New Roman" w:hAnsi="Times New Roman"/>
                <w:b/>
                <w:bCs/>
                <w:sz w:val="24"/>
                <w:szCs w:val="24"/>
              </w:rPr>
            </w:pPr>
            <w:r w:rsidRPr="001111BA">
              <w:rPr>
                <w:rFonts w:ascii="Times New Roman" w:hAnsi="Times New Roman"/>
                <w:b/>
                <w:bCs/>
                <w:sz w:val="24"/>
                <w:szCs w:val="24"/>
              </w:rPr>
              <w:t>Engedélyezett készítmények CLP rendelet szerinti besorolása</w:t>
            </w:r>
          </w:p>
        </w:tc>
      </w:tr>
    </w:tbl>
    <w:p w:rsidR="005678A1" w:rsidRPr="001111BA" w:rsidRDefault="005678A1" w:rsidP="005678A1"/>
    <w:p w:rsidR="00C161E1" w:rsidRPr="001111BA" w:rsidRDefault="00C161E1" w:rsidP="00565B38">
      <w:pPr>
        <w:jc w:val="both"/>
      </w:pPr>
      <w:r w:rsidRPr="001111BA">
        <w:t>Az elmúlt év során mintegy 700 növényvédő szer osztályozását vizsgálta felül hatóságunk az ún. CLP eljárásban</w:t>
      </w:r>
      <w:r w:rsidR="000436F6" w:rsidRPr="001111BA">
        <w:t xml:space="preserve"> </w:t>
      </w:r>
      <w:r w:rsidR="000436F6" w:rsidRPr="001111BA">
        <w:rPr>
          <w:i/>
        </w:rPr>
        <w:t>A</w:t>
      </w:r>
      <w:r w:rsidR="007F06EF" w:rsidRPr="001111BA">
        <w:rPr>
          <w:i/>
        </w:rPr>
        <w:t>z anyagok és keverékek osztályozásáról, címkézéséről és csomagolásáról szóló 1272/2008/EK rendelet</w:t>
      </w:r>
      <w:r w:rsidR="007F06EF" w:rsidRPr="001111BA">
        <w:t xml:space="preserve"> (CLP-rendelet) alapján</w:t>
      </w:r>
      <w:r w:rsidRPr="001111BA">
        <w:t>. Az engedélytulajdonosok és képviselőik közreműködését és munkánk segítését ezúton is köszönjük.</w:t>
      </w:r>
    </w:p>
    <w:p w:rsidR="00C161E1" w:rsidRPr="001111BA" w:rsidRDefault="00C161E1" w:rsidP="00C161E1"/>
    <w:p w:rsidR="00C161E1" w:rsidRPr="001111BA" w:rsidRDefault="00C161E1" w:rsidP="00565B38">
      <w:pPr>
        <w:jc w:val="both"/>
      </w:pPr>
      <w:r w:rsidRPr="001111BA">
        <w:t xml:space="preserve">Van még néhány készítmény, melyekre nem nyújtották be a CLP kérelmet. Amennyiben ezek a készítmények rendelkeznek hatályos engedéllyel, de jelenleg nincsenek forgalomban és nem is tervezik a forgalmazásukat, saját felelősségükre dönthetnek úgy, hogy nem nyújtják be az adott készítmény CLP kérelmét. </w:t>
      </w:r>
    </w:p>
    <w:p w:rsidR="00C161E1" w:rsidRPr="001111BA" w:rsidRDefault="00C161E1" w:rsidP="00C161E1"/>
    <w:p w:rsidR="00C161E1" w:rsidRPr="001111BA" w:rsidRDefault="00C161E1" w:rsidP="00565B38">
      <w:pPr>
        <w:jc w:val="both"/>
      </w:pPr>
      <w:r w:rsidRPr="001111BA">
        <w:t>Amennyiben van olyan készítmény, mely forgalomban van, de még nem nyújtották be a CLP kérelmeket, vagy nem véglegesítették a CLP címkét, kérjük, hogy ezt minél előbb tegyék meg annak érdekében, hogy az értékelést hatóságunk el tudja végezni. Felhívjuk figyelmüket, hogy minden egyes benyújtás során az eljárás ideje 90 napig tart. Az új gyártási tételek tervezett forgalomba hozatala esetén, - melyeknél a címkén már az új besorolást szükséges feltüntetni - ezzel az időtartammal kalkuláljanak.</w:t>
      </w:r>
    </w:p>
    <w:p w:rsidR="00C161E1" w:rsidRPr="001111BA" w:rsidRDefault="00C161E1" w:rsidP="00565B38">
      <w:pPr>
        <w:jc w:val="both"/>
      </w:pPr>
    </w:p>
    <w:p w:rsidR="00C161E1" w:rsidRPr="001111BA" w:rsidRDefault="00C161E1" w:rsidP="00565B38">
      <w:pPr>
        <w:jc w:val="both"/>
      </w:pPr>
      <w:r w:rsidRPr="001111BA">
        <w:lastRenderedPageBreak/>
        <w:t xml:space="preserve">A továbbiakban a CLP értékelések engedélyokiratokba történő bevitelét tervezzük. A H- és P-mondatok okiratba kerülésével együtt minden engedélyokirat egységes szerkezetben történő kiadását tervezzük. </w:t>
      </w:r>
    </w:p>
    <w:p w:rsidR="00C161E1" w:rsidRPr="001111BA" w:rsidRDefault="00C161E1" w:rsidP="00C161E1"/>
    <w:p w:rsidR="00C161E1" w:rsidRPr="001111BA" w:rsidRDefault="00C161E1" w:rsidP="00565B38">
      <w:pPr>
        <w:jc w:val="both"/>
      </w:pPr>
      <w:r w:rsidRPr="001111BA">
        <w:t>Ezt követően, ha az osztályozásban (H-mondatok) változás merül fel (pl. biztonsági adatlap frissül; hatóanyag harmonizált besorolást kap, vagy módosul), az engedélyokirat újabb módosítására lesz szükség. Ebben az esetben a kérelemhez a következőket kérjük csatolni:</w:t>
      </w:r>
    </w:p>
    <w:p w:rsidR="00C161E1" w:rsidRPr="001111BA" w:rsidRDefault="00C161E1" w:rsidP="00C161E1">
      <w:pPr>
        <w:pStyle w:val="Listaszerbekezds"/>
        <w:numPr>
          <w:ilvl w:val="0"/>
          <w:numId w:val="14"/>
        </w:numPr>
        <w:rPr>
          <w:rFonts w:ascii="Times New Roman" w:hAnsi="Times New Roman"/>
          <w:sz w:val="24"/>
          <w:szCs w:val="24"/>
        </w:rPr>
      </w:pPr>
      <w:r w:rsidRPr="001111BA">
        <w:rPr>
          <w:rFonts w:ascii="Times New Roman" w:hAnsi="Times New Roman"/>
          <w:sz w:val="24"/>
          <w:szCs w:val="24"/>
        </w:rPr>
        <w:t>legújabb MSDS</w:t>
      </w:r>
    </w:p>
    <w:p w:rsidR="00C161E1" w:rsidRPr="001111BA" w:rsidRDefault="00C161E1" w:rsidP="00C161E1">
      <w:pPr>
        <w:pStyle w:val="Listaszerbekezds"/>
        <w:numPr>
          <w:ilvl w:val="0"/>
          <w:numId w:val="14"/>
        </w:numPr>
        <w:rPr>
          <w:rFonts w:ascii="Times New Roman" w:hAnsi="Times New Roman"/>
          <w:sz w:val="24"/>
          <w:szCs w:val="24"/>
        </w:rPr>
      </w:pPr>
      <w:r w:rsidRPr="001111BA">
        <w:rPr>
          <w:rFonts w:ascii="Times New Roman" w:hAnsi="Times New Roman"/>
          <w:sz w:val="24"/>
          <w:szCs w:val="24"/>
        </w:rPr>
        <w:t>a készítmény-osztályozás változásának szakmai indoklása</w:t>
      </w:r>
    </w:p>
    <w:p w:rsidR="00C161E1" w:rsidRPr="001111BA" w:rsidRDefault="00C161E1" w:rsidP="00C161E1">
      <w:pPr>
        <w:pStyle w:val="Listaszerbekezds"/>
        <w:numPr>
          <w:ilvl w:val="0"/>
          <w:numId w:val="14"/>
        </w:numPr>
        <w:rPr>
          <w:rFonts w:ascii="Times New Roman" w:hAnsi="Times New Roman"/>
          <w:sz w:val="24"/>
          <w:szCs w:val="24"/>
        </w:rPr>
      </w:pPr>
      <w:r w:rsidRPr="001111BA">
        <w:rPr>
          <w:rFonts w:ascii="Times New Roman" w:hAnsi="Times New Roman"/>
          <w:sz w:val="24"/>
          <w:szCs w:val="24"/>
        </w:rPr>
        <w:t>amennyiben a készítmény-osztályozás a hatóanyag, vagy egyéb összetevő harmonizált besorolása miatt változik, akkor az erre vonatkozó jogszabályi hivatkozást kérjük megadni</w:t>
      </w:r>
    </w:p>
    <w:p w:rsidR="00C161E1" w:rsidRPr="001111BA" w:rsidRDefault="00C161E1" w:rsidP="00565B38">
      <w:pPr>
        <w:jc w:val="both"/>
      </w:pPr>
      <w:r w:rsidRPr="001111BA">
        <w:t>A fentieken túl felhívjuk figyelmüket, hogy a 2014-ben küldött hírlevélnek megfelelően, kizárólag a CLP besorolást és veszélyességi tulajdonságokat ellenőriztük az eljárásunk során. A régi R- és S-mondatokat az elfogadott címkében (vagy az ez alapján elkészített címkeszöveg sablonban) kellett megváltoztatni H- és P-mondatokra. A CLP eljárás során a kötelező címkeelemeket és a veszélyességi besorolást ellenőriztük, ezért amennyiben egyéb változások vannak a CLP címkén, az</w:t>
      </w:r>
      <w:r w:rsidR="000D4FE5">
        <w:t>ok</w:t>
      </w:r>
      <w:r w:rsidRPr="001111BA">
        <w:t xml:space="preserve"> kizárólag saját felelősségre tehető</w:t>
      </w:r>
      <w:r w:rsidR="000D4FE5">
        <w:t>k</w:t>
      </w:r>
      <w:r w:rsidRPr="001111BA">
        <w:t xml:space="preserve"> meg. Amennyiben bármilyen adminisztratív, vagy egyéb módosítás merül fel, akkor azt külön eljárásban, kérelmezni szükséges.</w:t>
      </w:r>
    </w:p>
    <w:p w:rsidR="00C161E1" w:rsidRPr="001111BA" w:rsidRDefault="00C161E1" w:rsidP="00565B38">
      <w:pPr>
        <w:jc w:val="both"/>
      </w:pPr>
    </w:p>
    <w:p w:rsidR="00C161E1" w:rsidRPr="001111BA" w:rsidRDefault="00C161E1" w:rsidP="00565B38">
      <w:pPr>
        <w:jc w:val="both"/>
      </w:pPr>
      <w:r w:rsidRPr="001111BA">
        <w:t xml:space="preserve">Amennyiben az engedélytulajdonos új, megváltozott CLP besorolást nyújt be, akkor az engedélyokirat módosításáig, vagy – amennyiben még nem szerepel az okiratban – a CLP címke módosításáig, a forgalomban lévő címke nem módosítható. Ez esetben előfordulhat, hogy a már frissített Biztonsági Adatlap nem egyezik meg a címkével. </w:t>
      </w:r>
    </w:p>
    <w:p w:rsidR="00C161E1" w:rsidRPr="001111BA" w:rsidRDefault="00C161E1" w:rsidP="00C161E1">
      <w:pPr>
        <w:ind w:right="150"/>
      </w:pPr>
    </w:p>
    <w:p w:rsidR="00A67CD2" w:rsidRPr="001111BA" w:rsidRDefault="00C161E1" w:rsidP="00C161E1">
      <w:pPr>
        <w:ind w:right="150"/>
        <w:rPr>
          <w:b/>
          <w:bCs/>
          <w:i/>
          <w:iCs/>
          <w:sz w:val="28"/>
          <w:szCs w:val="28"/>
          <w:highlight w:val="yellow"/>
        </w:rPr>
      </w:pPr>
      <w:r w:rsidRPr="001111BA">
        <w:rPr>
          <w:i/>
        </w:rPr>
        <w:t>Forrás: Janka Adél</w:t>
      </w:r>
    </w:p>
    <w:p w:rsidR="00A67CD2" w:rsidRPr="001111BA" w:rsidRDefault="00A67CD2" w:rsidP="002804E5">
      <w:pPr>
        <w:rPr>
          <w:i/>
          <w:highlight w:val="yellow"/>
        </w:rPr>
      </w:pPr>
    </w:p>
    <w:p w:rsidR="00A67CD2" w:rsidRPr="001111BA" w:rsidRDefault="00A67CD2" w:rsidP="00A67CD2">
      <w:pPr>
        <w:jc w:val="both"/>
        <w:rPr>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A67CD2" w:rsidRPr="001111BA" w:rsidTr="00F21D14">
        <w:tc>
          <w:tcPr>
            <w:tcW w:w="9212" w:type="dxa"/>
            <w:shd w:val="clear" w:color="auto" w:fill="C2D69B"/>
          </w:tcPr>
          <w:p w:rsidR="00A67CD2" w:rsidRPr="001111BA" w:rsidRDefault="002C52F3" w:rsidP="00C16B5D">
            <w:pPr>
              <w:pStyle w:val="Listaszerbekezds"/>
              <w:numPr>
                <w:ilvl w:val="1"/>
                <w:numId w:val="12"/>
              </w:numPr>
              <w:spacing w:after="0" w:line="240" w:lineRule="auto"/>
              <w:jc w:val="both"/>
              <w:rPr>
                <w:rFonts w:ascii="Times New Roman" w:hAnsi="Times New Roman"/>
                <w:b/>
                <w:sz w:val="24"/>
                <w:szCs w:val="24"/>
              </w:rPr>
            </w:pPr>
            <w:r w:rsidRPr="001111BA">
              <w:rPr>
                <w:rFonts w:ascii="Times New Roman" w:hAnsi="Times New Roman"/>
                <w:b/>
                <w:bCs/>
                <w:sz w:val="24"/>
                <w:szCs w:val="24"/>
              </w:rPr>
              <w:t xml:space="preserve">Az egyszerű anyagokról </w:t>
            </w:r>
          </w:p>
        </w:tc>
      </w:tr>
    </w:tbl>
    <w:p w:rsidR="002C52F3" w:rsidRPr="001111BA" w:rsidRDefault="002C52F3" w:rsidP="002C52F3">
      <w:pPr>
        <w:pStyle w:val="CM4"/>
        <w:spacing w:before="60" w:after="60"/>
        <w:jc w:val="both"/>
        <w:rPr>
          <w:rFonts w:ascii="Times New Roman" w:hAnsi="Times New Roman"/>
        </w:rPr>
      </w:pPr>
    </w:p>
    <w:p w:rsidR="00F21D14" w:rsidRPr="001111BA" w:rsidRDefault="00F21D14" w:rsidP="00F21D14">
      <w:pPr>
        <w:pStyle w:val="CM4"/>
        <w:spacing w:before="60" w:after="60"/>
        <w:jc w:val="both"/>
        <w:rPr>
          <w:rFonts w:ascii="Times New Roman" w:hAnsi="Times New Roman"/>
        </w:rPr>
      </w:pPr>
      <w:r w:rsidRPr="001111BA">
        <w:rPr>
          <w:rFonts w:ascii="Times New Roman" w:hAnsi="Times New Roman"/>
        </w:rPr>
        <w:t xml:space="preserve">A </w:t>
      </w:r>
      <w:r w:rsidR="00E83EEC" w:rsidRPr="001111BA">
        <w:rPr>
          <w:rFonts w:ascii="Times New Roman" w:hAnsi="Times New Roman"/>
          <w:bCs/>
          <w:i/>
        </w:rPr>
        <w:t xml:space="preserve">1107/2009/EK </w:t>
      </w:r>
      <w:r w:rsidRPr="001111BA">
        <w:rPr>
          <w:rFonts w:ascii="Times New Roman" w:hAnsi="Times New Roman"/>
        </w:rPr>
        <w:t xml:space="preserve">Rendelet vezette be az egyszerű anyagok (basic substances) fogalmát. 23. cikke szerint az egyszerű anyag meg kell, hogy feleljen az alábbi kritériumoknak: </w:t>
      </w:r>
    </w:p>
    <w:p w:rsidR="00F21D14" w:rsidRPr="001111BA" w:rsidRDefault="00F21D14" w:rsidP="00F21D14">
      <w:pPr>
        <w:pStyle w:val="Default"/>
        <w:numPr>
          <w:ilvl w:val="0"/>
          <w:numId w:val="22"/>
        </w:numPr>
        <w:rPr>
          <w:rFonts w:ascii="Times New Roman" w:hAnsi="Times New Roman" w:cs="Times New Roman"/>
          <w:sz w:val="22"/>
          <w:szCs w:val="22"/>
        </w:rPr>
      </w:pPr>
      <w:r w:rsidRPr="001111BA">
        <w:rPr>
          <w:rFonts w:ascii="Times New Roman" w:hAnsi="Times New Roman" w:cs="Times New Roman"/>
          <w:sz w:val="22"/>
          <w:szCs w:val="22"/>
        </w:rPr>
        <w:t xml:space="preserve">nem lehet aggályos anyag; </w:t>
      </w:r>
    </w:p>
    <w:p w:rsidR="00F21D14" w:rsidRPr="001111BA" w:rsidRDefault="00F21D14" w:rsidP="00F21D14">
      <w:pPr>
        <w:pStyle w:val="CM4"/>
        <w:numPr>
          <w:ilvl w:val="0"/>
          <w:numId w:val="22"/>
        </w:numPr>
        <w:spacing w:before="60" w:after="60"/>
        <w:jc w:val="both"/>
        <w:rPr>
          <w:rFonts w:ascii="Times New Roman" w:hAnsi="Times New Roman"/>
          <w:sz w:val="22"/>
          <w:szCs w:val="22"/>
        </w:rPr>
      </w:pPr>
      <w:r w:rsidRPr="001111BA">
        <w:rPr>
          <w:rFonts w:ascii="Times New Roman" w:hAnsi="Times New Roman"/>
          <w:color w:val="000000"/>
          <w:sz w:val="22"/>
          <w:szCs w:val="22"/>
        </w:rPr>
        <w:t xml:space="preserve">a természetéből következően nincs hormonrendszert károsító, neurotoxikus vagy immunotoxikus hatása; </w:t>
      </w:r>
    </w:p>
    <w:p w:rsidR="00F21D14" w:rsidRPr="001111BA" w:rsidRDefault="00F21D14" w:rsidP="00F21D14">
      <w:pPr>
        <w:pStyle w:val="CM4"/>
        <w:numPr>
          <w:ilvl w:val="0"/>
          <w:numId w:val="22"/>
        </w:numPr>
        <w:spacing w:before="60" w:after="60"/>
        <w:jc w:val="both"/>
        <w:rPr>
          <w:rFonts w:ascii="Times New Roman" w:hAnsi="Times New Roman"/>
          <w:sz w:val="22"/>
          <w:szCs w:val="22"/>
        </w:rPr>
      </w:pPr>
      <w:r w:rsidRPr="001111BA">
        <w:rPr>
          <w:rFonts w:ascii="Times New Roman" w:hAnsi="Times New Roman"/>
          <w:color w:val="000000"/>
          <w:sz w:val="22"/>
          <w:szCs w:val="22"/>
        </w:rPr>
        <w:t xml:space="preserve">döntően nem növényvédelmi célokra használják (pl. élelmiszer, növényi kivonat), </w:t>
      </w:r>
    </w:p>
    <w:p w:rsidR="00F21D14" w:rsidRPr="001111BA" w:rsidRDefault="00F21D14" w:rsidP="00F21D14">
      <w:pPr>
        <w:pStyle w:val="CM4"/>
        <w:numPr>
          <w:ilvl w:val="0"/>
          <w:numId w:val="22"/>
        </w:numPr>
        <w:spacing w:before="60" w:after="60"/>
        <w:jc w:val="both"/>
        <w:rPr>
          <w:rFonts w:ascii="Times New Roman" w:hAnsi="Times New Roman"/>
          <w:sz w:val="22"/>
          <w:szCs w:val="22"/>
        </w:rPr>
      </w:pPr>
      <w:r w:rsidRPr="001111BA">
        <w:rPr>
          <w:rFonts w:ascii="Times New Roman" w:hAnsi="Times New Roman"/>
          <w:color w:val="000000"/>
          <w:sz w:val="22"/>
          <w:szCs w:val="22"/>
        </w:rPr>
        <w:t xml:space="preserve">mindazonáltal növényvédő szerként is hasznos, akár közvetlenül, akár egyszerű hígítószerrel oldott formában; továbbá  </w:t>
      </w:r>
    </w:p>
    <w:p w:rsidR="00F21D14" w:rsidRPr="001111BA" w:rsidRDefault="00F21D14" w:rsidP="00F21D14">
      <w:pPr>
        <w:pStyle w:val="CM4"/>
        <w:numPr>
          <w:ilvl w:val="0"/>
          <w:numId w:val="22"/>
        </w:numPr>
        <w:spacing w:before="60" w:after="60"/>
        <w:jc w:val="both"/>
        <w:rPr>
          <w:rFonts w:ascii="Times New Roman" w:hAnsi="Times New Roman"/>
          <w:color w:val="000000"/>
          <w:sz w:val="22"/>
          <w:szCs w:val="22"/>
        </w:rPr>
      </w:pPr>
      <w:r w:rsidRPr="001111BA">
        <w:rPr>
          <w:rFonts w:ascii="Times New Roman" w:hAnsi="Times New Roman"/>
          <w:color w:val="000000"/>
          <w:sz w:val="22"/>
          <w:szCs w:val="22"/>
        </w:rPr>
        <w:t>nem forgalmazható növényvédő szerként.</w:t>
      </w:r>
    </w:p>
    <w:p w:rsidR="00F21D14" w:rsidRPr="001111BA" w:rsidRDefault="00F21D14" w:rsidP="00F21D14">
      <w:pPr>
        <w:pStyle w:val="CM4"/>
        <w:spacing w:before="60"/>
        <w:jc w:val="both"/>
      </w:pPr>
      <w:r w:rsidRPr="001111BA">
        <w:rPr>
          <w:rFonts w:ascii="Times New Roman" w:hAnsi="Times New Roman"/>
        </w:rPr>
        <w:t xml:space="preserve">Az egyszerű anyagokra vonatkozó kérelmet a Bizottsághoz </w:t>
      </w:r>
      <w:r w:rsidR="00F41723">
        <w:rPr>
          <w:rFonts w:ascii="Times New Roman" w:hAnsi="Times New Roman"/>
        </w:rPr>
        <w:t>(</w:t>
      </w:r>
      <w:hyperlink r:id="rId39" w:history="1">
        <w:r w:rsidR="00F41723" w:rsidRPr="008F3B6A">
          <w:rPr>
            <w:rStyle w:val="Hiperhivatkozs"/>
            <w:rFonts w:ascii="Times New Roman" w:hAnsi="Times New Roman"/>
          </w:rPr>
          <w:t>pppadmin@ec.europa.eu</w:t>
        </w:r>
      </w:hyperlink>
      <w:r w:rsidR="00F41723">
        <w:rPr>
          <w:rFonts w:ascii="Times New Roman" w:hAnsi="Times New Roman"/>
        </w:rPr>
        <w:t xml:space="preserve">) </w:t>
      </w:r>
      <w:r w:rsidRPr="001111BA">
        <w:rPr>
          <w:rFonts w:ascii="Times New Roman" w:hAnsi="Times New Roman"/>
        </w:rPr>
        <w:t xml:space="preserve">kell benyújtani. A dosszié összeállításában a SANCO/10363/2012 útmutató (a továbbiakban: útmutató) I. mellékletében található formanyomtatvány segíti a kérelmezőket. A növényvédő szerekre és az egyszerű anyagokra vonatkozó dosszié fejezetei hasonlóságot mutatnak. Azonban az egyszerű anyagokra benyújtandó adatszolgáltatás egyéb közösségi jogszabályoknak megfelelően elvégzett értékelések alapján is teljesíthetők. Meghatározott növényvédelmi felhasználás miatt szükség lehet kiegészítő kockázatbecslésre is. Ha a formanyomtatványok bizonyos pontjai az adott termékre nem relevánsak, azt indokolni kell. </w:t>
      </w:r>
    </w:p>
    <w:p w:rsidR="00F21D14" w:rsidRPr="001111BA" w:rsidRDefault="00F21D14" w:rsidP="00F21D14">
      <w:pPr>
        <w:pStyle w:val="Default"/>
        <w:jc w:val="both"/>
        <w:rPr>
          <w:rFonts w:ascii="Times New Roman" w:hAnsi="Times New Roman" w:cs="Times New Roman"/>
        </w:rPr>
      </w:pPr>
      <w:r w:rsidRPr="001111BA">
        <w:rPr>
          <w:rFonts w:ascii="Times New Roman" w:hAnsi="Times New Roman" w:cs="Times New Roman"/>
        </w:rPr>
        <w:t xml:space="preserve">A benyújtott dossziék jóváhagyási eljárása a növényvédő szerekéhez hasonló. A dossziét a tagállamok és az EFSA is véleményezi mintegy fél év alatt. Az EFSA értékeléstől számított újabb fél év alatt készíti el a Bizottság a </w:t>
      </w:r>
      <w:r w:rsidR="00F41723">
        <w:rPr>
          <w:rFonts w:ascii="Times New Roman" w:hAnsi="Times New Roman" w:cs="Times New Roman"/>
        </w:rPr>
        <w:t xml:space="preserve">áttekintő </w:t>
      </w:r>
      <w:r w:rsidRPr="001111BA">
        <w:rPr>
          <w:rFonts w:ascii="Times New Roman" w:hAnsi="Times New Roman" w:cs="Times New Roman"/>
        </w:rPr>
        <w:t xml:space="preserve"> jelentést </w:t>
      </w:r>
      <w:r w:rsidR="00F41723">
        <w:rPr>
          <w:rFonts w:ascii="Times New Roman" w:hAnsi="Times New Roman" w:cs="Times New Roman"/>
        </w:rPr>
        <w:t xml:space="preserve">(review report) </w:t>
      </w:r>
      <w:r w:rsidRPr="001111BA">
        <w:rPr>
          <w:rFonts w:ascii="Times New Roman" w:hAnsi="Times New Roman" w:cs="Times New Roman"/>
        </w:rPr>
        <w:t xml:space="preserve">és az egyszerű anyag </w:t>
      </w:r>
      <w:r w:rsidRPr="001111BA">
        <w:rPr>
          <w:rFonts w:ascii="Times New Roman" w:hAnsi="Times New Roman" w:cs="Times New Roman"/>
        </w:rPr>
        <w:lastRenderedPageBreak/>
        <w:t>felvételéről szóló rendelettervezetet. A kérelmezőnek lehetősége van a jelentés véleményezésére. A SCoPAFF (</w:t>
      </w:r>
      <w:r w:rsidRPr="001111BA">
        <w:rPr>
          <w:rFonts w:ascii="Times New Roman" w:hAnsi="Times New Roman" w:cs="Times New Roman"/>
          <w:color w:val="262626"/>
        </w:rPr>
        <w:t>Növényekkel, Állatokkal, Élelmiszerrel és Takarmánnyal foglalkozó Állandó Bizottság</w:t>
      </w:r>
      <w:r w:rsidRPr="001111BA">
        <w:rPr>
          <w:rFonts w:ascii="Times New Roman" w:hAnsi="Times New Roman" w:cs="Times New Roman"/>
        </w:rPr>
        <w:t xml:space="preserve">) hagyja jóvá az egyszerű anyagok </w:t>
      </w:r>
      <w:r w:rsidR="00F41723">
        <w:rPr>
          <w:rFonts w:ascii="Times New Roman" w:hAnsi="Times New Roman" w:cs="Times New Roman"/>
        </w:rPr>
        <w:t>felvételét</w:t>
      </w:r>
      <w:r w:rsidRPr="001111BA">
        <w:rPr>
          <w:rFonts w:ascii="Times New Roman" w:hAnsi="Times New Roman" w:cs="Times New Roman"/>
        </w:rPr>
        <w:t>. A</w:t>
      </w:r>
      <w:r w:rsidR="00F41723">
        <w:rPr>
          <w:rFonts w:ascii="Times New Roman" w:hAnsi="Times New Roman" w:cs="Times New Roman"/>
        </w:rPr>
        <w:t xml:space="preserve"> jóváhagyott </w:t>
      </w:r>
      <w:r w:rsidRPr="001111BA">
        <w:rPr>
          <w:rFonts w:ascii="Times New Roman" w:hAnsi="Times New Roman" w:cs="Times New Roman"/>
        </w:rPr>
        <w:t>hatóanyagok listájára felkerült egyszerű anyagok az 540/2011/EU rendelet C. mellékletében kerülnek felsorolásra.</w:t>
      </w:r>
      <w:r w:rsidRPr="001111BA">
        <w:t xml:space="preserve"> </w:t>
      </w:r>
    </w:p>
    <w:p w:rsidR="00F21D14" w:rsidRPr="001111BA" w:rsidRDefault="00F21D14" w:rsidP="00F21D14">
      <w:pPr>
        <w:pStyle w:val="CM4"/>
        <w:spacing w:before="60" w:after="60"/>
        <w:jc w:val="both"/>
        <w:rPr>
          <w:rFonts w:ascii="Times New Roman" w:hAnsi="Times New Roman"/>
        </w:rPr>
      </w:pPr>
      <w:r w:rsidRPr="001111BA">
        <w:rPr>
          <w:rFonts w:ascii="Times New Roman" w:hAnsi="Times New Roman"/>
          <w:b/>
        </w:rPr>
        <w:t xml:space="preserve">Az egyszerű anyagok a </w:t>
      </w:r>
      <w:r w:rsidR="00DA6CB9" w:rsidRPr="001111BA">
        <w:rPr>
          <w:rFonts w:ascii="Times New Roman" w:hAnsi="Times New Roman"/>
          <w:b/>
          <w:bCs/>
          <w:i/>
        </w:rPr>
        <w:t>1107/2009/EK r</w:t>
      </w:r>
      <w:r w:rsidRPr="001111BA">
        <w:rPr>
          <w:rFonts w:ascii="Times New Roman" w:hAnsi="Times New Roman"/>
          <w:b/>
          <w:i/>
        </w:rPr>
        <w:t>endelet</w:t>
      </w:r>
      <w:r w:rsidRPr="001111BA">
        <w:rPr>
          <w:rFonts w:ascii="Times New Roman" w:hAnsi="Times New Roman"/>
          <w:b/>
        </w:rPr>
        <w:t xml:space="preserve"> alapján uniós és korlátlan időre szóló engedélyt kapnak.</w:t>
      </w:r>
      <w:r w:rsidRPr="001111BA">
        <w:rPr>
          <w:rFonts w:ascii="Times New Roman" w:hAnsi="Times New Roman"/>
        </w:rPr>
        <w:t xml:space="preserve"> Az engedély azonban bármikor felülvizsgálható, amennyiben az anyag már nem felel meg az egyszerű anyagok kritériumainak.</w:t>
      </w:r>
    </w:p>
    <w:p w:rsidR="00F21D14" w:rsidRPr="001111BA" w:rsidRDefault="00F21D14" w:rsidP="00F21D14">
      <w:pPr>
        <w:pStyle w:val="Default"/>
        <w:jc w:val="both"/>
        <w:rPr>
          <w:rFonts w:ascii="Times New Roman" w:hAnsi="Times New Roman" w:cs="Times New Roman"/>
        </w:rPr>
      </w:pPr>
    </w:p>
    <w:p w:rsidR="00F21D14" w:rsidRPr="001111BA" w:rsidRDefault="00F21D14" w:rsidP="00F21D14">
      <w:pPr>
        <w:pStyle w:val="Default"/>
        <w:jc w:val="both"/>
        <w:rPr>
          <w:rFonts w:ascii="Times New Roman" w:hAnsi="Times New Roman" w:cs="Times New Roman"/>
        </w:rPr>
      </w:pPr>
      <w:r w:rsidRPr="001111BA">
        <w:rPr>
          <w:rFonts w:ascii="Times New Roman" w:hAnsi="Times New Roman" w:cs="Times New Roman"/>
        </w:rPr>
        <w:t>Az alábbi táblázat tartalmazza az eddig listára került és várhatóan arra kerülő egyszerű anyagokat. Az elfogadott egyszerű anyagok</w:t>
      </w:r>
      <w:r w:rsidR="00EE0DCD" w:rsidRPr="001111BA">
        <w:rPr>
          <w:rFonts w:ascii="Times New Roman" w:hAnsi="Times New Roman" w:cs="Times New Roman"/>
        </w:rPr>
        <w:t>at</w:t>
      </w:r>
      <w:r w:rsidRPr="001111BA">
        <w:rPr>
          <w:rFonts w:ascii="Times New Roman" w:hAnsi="Times New Roman" w:cs="Times New Roman"/>
        </w:rPr>
        <w:t xml:space="preserve"> új anyagként jelöl</w:t>
      </w:r>
      <w:r w:rsidR="00F41723">
        <w:rPr>
          <w:rFonts w:ascii="Times New Roman" w:hAnsi="Times New Roman" w:cs="Times New Roman"/>
        </w:rPr>
        <w:t>ik a listára,</w:t>
      </w:r>
      <w:r w:rsidRPr="001111BA">
        <w:rPr>
          <w:rFonts w:ascii="Times New Roman" w:hAnsi="Times New Roman" w:cs="Times New Roman"/>
        </w:rPr>
        <w:t xml:space="preserve"> </w:t>
      </w:r>
      <w:r w:rsidR="00F41723">
        <w:rPr>
          <w:rFonts w:ascii="Times New Roman" w:hAnsi="Times New Roman" w:cs="Times New Roman"/>
        </w:rPr>
        <w:t>a</w:t>
      </w:r>
      <w:r w:rsidRPr="001111BA">
        <w:rPr>
          <w:rFonts w:ascii="Times New Roman" w:hAnsi="Times New Roman" w:cs="Times New Roman"/>
        </w:rPr>
        <w:t>hol megadják az anyagok felhasználás</w:t>
      </w:r>
      <w:r w:rsidR="00EE0DCD" w:rsidRPr="001111BA">
        <w:rPr>
          <w:rFonts w:ascii="Times New Roman" w:hAnsi="Times New Roman" w:cs="Times New Roman"/>
        </w:rPr>
        <w:t>ának</w:t>
      </w:r>
      <w:r w:rsidR="00F41723">
        <w:rPr>
          <w:rFonts w:ascii="Times New Roman" w:hAnsi="Times New Roman" w:cs="Times New Roman"/>
        </w:rPr>
        <w:t xml:space="preserve"> rendeltetését. Ennek értelmében p</w:t>
      </w:r>
      <w:r w:rsidRPr="001111BA">
        <w:rPr>
          <w:rFonts w:ascii="Times New Roman" w:hAnsi="Times New Roman" w:cs="Times New Roman"/>
        </w:rPr>
        <w:t>l.  a lecitinek gombaölő hatású egyszerű anyagnak minősülnek, de nem gombaölő növényvédő szerek. Az egyes anyagokra vonatkozó rendeletek és áttekintő jelentések nemcsak az anyagok élelmiszer-minőségű tisztaságát, de a felhasználás mikéntjét (pl. hígítás mértékét) is meghatározzák.</w:t>
      </w:r>
    </w:p>
    <w:p w:rsidR="00F21D14" w:rsidRPr="001111BA" w:rsidRDefault="00F21D14" w:rsidP="00F21D14">
      <w:pPr>
        <w:pStyle w:val="Default"/>
        <w:jc w:val="both"/>
        <w:rPr>
          <w:rFonts w:ascii="Times New Roman" w:hAnsi="Times New Roman" w:cs="Times New Roman"/>
        </w:rPr>
      </w:pPr>
      <w:r w:rsidRPr="001111BA">
        <w:rPr>
          <w:rFonts w:ascii="Times New Roman" w:hAnsi="Times New Roman" w:cs="Times New Roman"/>
        </w:rPr>
        <w:t xml:space="preserve">Az egyszerű anyagokra vonatkozó információk megtalálhatók a </w:t>
      </w:r>
      <w:hyperlink r:id="rId40" w:history="1">
        <w:r w:rsidRPr="001111BA">
          <w:rPr>
            <w:rStyle w:val="Hiperhivatkozs"/>
            <w:rFonts w:ascii="Times New Roman" w:hAnsi="Times New Roman" w:cs="Times New Roman"/>
          </w:rPr>
          <w:t>DG SANTE honlapján</w:t>
        </w:r>
      </w:hyperlink>
      <w:r w:rsidRPr="001111BA">
        <w:rPr>
          <w:rFonts w:ascii="Times New Roman" w:hAnsi="Times New Roman" w:cs="Times New Roman"/>
        </w:rPr>
        <w:t xml:space="preserve"> a „basic substances” cím alatt.</w:t>
      </w:r>
    </w:p>
    <w:p w:rsidR="00F21D14" w:rsidRPr="001111BA" w:rsidRDefault="00F21D14" w:rsidP="00F21D14">
      <w:pPr>
        <w:pStyle w:val="Default"/>
        <w:jc w:val="both"/>
        <w:rPr>
          <w:rFonts w:ascii="Times New Roman" w:hAnsi="Times New Roman" w:cs="Times New Roman"/>
        </w:rPr>
      </w:pPr>
      <w:r w:rsidRPr="001111BA">
        <w:rPr>
          <w:rFonts w:ascii="Times New Roman" w:hAnsi="Times New Roman" w:cs="Times New Roman"/>
        </w:rPr>
        <w:t xml:space="preserve">A felhasználási előírások megtalálhatók minden egyes egyszerű anyag tekintetében az összesített áttekintő jelentésben a növényvédő szer hatóanyagok </w:t>
      </w:r>
      <w:hyperlink r:id="rId41" w:history="1">
        <w:r w:rsidRPr="001111BA">
          <w:rPr>
            <w:rStyle w:val="Hiperhivatkozs"/>
            <w:rFonts w:ascii="Times New Roman" w:hAnsi="Times New Roman" w:cs="Times New Roman"/>
          </w:rPr>
          <w:t>európai adatbázisában</w:t>
        </w:r>
      </w:hyperlink>
      <w:r w:rsidRPr="001111BA">
        <w:rPr>
          <w:rFonts w:ascii="Times New Roman" w:hAnsi="Times New Roman" w:cs="Times New Roman"/>
        </w:rPr>
        <w:t>.</w:t>
      </w:r>
    </w:p>
    <w:p w:rsidR="00F21D14" w:rsidRPr="001111BA" w:rsidRDefault="00F21D14" w:rsidP="00F21D14">
      <w:pPr>
        <w:pStyle w:val="Default"/>
        <w:rPr>
          <w:rFonts w:ascii="Times New Roman" w:hAnsi="Times New Roman" w:cs="Times New Roman"/>
        </w:rPr>
      </w:pPr>
    </w:p>
    <w:p w:rsidR="00657B2F" w:rsidRDefault="00657B2F"/>
    <w:tbl>
      <w:tblPr>
        <w:tblW w:w="0" w:type="auto"/>
        <w:tblLayout w:type="fixed"/>
        <w:tblLook w:val="04A0"/>
      </w:tblPr>
      <w:tblGrid>
        <w:gridCol w:w="8755"/>
      </w:tblGrid>
      <w:tr w:rsidR="00F21D14" w:rsidRPr="001111BA" w:rsidTr="00F21D14">
        <w:tc>
          <w:tcPr>
            <w:tcW w:w="8755" w:type="dxa"/>
          </w:tcPr>
          <w:p w:rsidR="00F21D14" w:rsidRPr="001111BA" w:rsidRDefault="00F21D14" w:rsidP="00F21D14">
            <w:pPr>
              <w:pStyle w:val="CM4"/>
              <w:spacing w:before="60" w:after="60"/>
              <w:rPr>
                <w:b/>
              </w:rPr>
            </w:pPr>
            <w:r w:rsidRPr="001111BA">
              <w:rPr>
                <w:b/>
              </w:rPr>
              <w:t xml:space="preserve">Egyszerű anyagok listája 2015. </w:t>
            </w:r>
            <w:r w:rsidR="00C80019" w:rsidRPr="001111BA">
              <w:rPr>
                <w:b/>
              </w:rPr>
              <w:t>december</w:t>
            </w:r>
          </w:p>
          <w:p w:rsidR="00F21D14" w:rsidRPr="001111BA" w:rsidRDefault="00F21D14" w:rsidP="00F21D14">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1418"/>
              <w:gridCol w:w="992"/>
              <w:gridCol w:w="1134"/>
              <w:gridCol w:w="992"/>
              <w:gridCol w:w="2203"/>
            </w:tblGrid>
            <w:tr w:rsidR="00F21D14" w:rsidRPr="001111BA" w:rsidTr="00F21D14">
              <w:trPr>
                <w:cantSplit/>
              </w:trPr>
              <w:tc>
                <w:tcPr>
                  <w:tcW w:w="1696" w:type="dxa"/>
                </w:tcPr>
                <w:p w:rsidR="00F21D14" w:rsidRPr="001111BA" w:rsidRDefault="00F21D14" w:rsidP="00F21D14">
                  <w:pPr>
                    <w:rPr>
                      <w:b/>
                      <w:bCs/>
                      <w:sz w:val="20"/>
                      <w:szCs w:val="20"/>
                    </w:rPr>
                  </w:pPr>
                  <w:r w:rsidRPr="001111BA">
                    <w:rPr>
                      <w:b/>
                      <w:bCs/>
                      <w:sz w:val="20"/>
                      <w:szCs w:val="20"/>
                    </w:rPr>
                    <w:t>Anyag</w:t>
                  </w:r>
                </w:p>
              </w:tc>
              <w:tc>
                <w:tcPr>
                  <w:tcW w:w="1418" w:type="dxa"/>
                </w:tcPr>
                <w:p w:rsidR="00F21D14" w:rsidRPr="001111BA" w:rsidRDefault="00F21D14" w:rsidP="00F21D14">
                  <w:pPr>
                    <w:rPr>
                      <w:b/>
                      <w:bCs/>
                      <w:sz w:val="20"/>
                      <w:szCs w:val="20"/>
                    </w:rPr>
                  </w:pPr>
                  <w:r w:rsidRPr="001111BA">
                    <w:rPr>
                      <w:b/>
                      <w:bCs/>
                      <w:sz w:val="20"/>
                      <w:szCs w:val="20"/>
                    </w:rPr>
                    <w:t xml:space="preserve">Felhasználás </w:t>
                  </w:r>
                </w:p>
              </w:tc>
              <w:tc>
                <w:tcPr>
                  <w:tcW w:w="992" w:type="dxa"/>
                </w:tcPr>
                <w:p w:rsidR="00F21D14" w:rsidRPr="001111BA" w:rsidRDefault="00F21D14" w:rsidP="00F21D14">
                  <w:pPr>
                    <w:rPr>
                      <w:b/>
                      <w:bCs/>
                      <w:sz w:val="20"/>
                      <w:szCs w:val="20"/>
                    </w:rPr>
                  </w:pPr>
                  <w:r w:rsidRPr="001111BA">
                    <w:rPr>
                      <w:b/>
                      <w:bCs/>
                      <w:sz w:val="20"/>
                      <w:szCs w:val="20"/>
                    </w:rPr>
                    <w:t>Státusz</w:t>
                  </w:r>
                </w:p>
              </w:tc>
              <w:tc>
                <w:tcPr>
                  <w:tcW w:w="1134" w:type="dxa"/>
                </w:tcPr>
                <w:p w:rsidR="00F21D14" w:rsidRPr="001111BA" w:rsidRDefault="00F21D14" w:rsidP="00F21D14">
                  <w:pPr>
                    <w:rPr>
                      <w:b/>
                      <w:bCs/>
                      <w:sz w:val="20"/>
                      <w:szCs w:val="20"/>
                    </w:rPr>
                  </w:pPr>
                  <w:r w:rsidRPr="001111BA">
                    <w:rPr>
                      <w:b/>
                      <w:bCs/>
                      <w:sz w:val="20"/>
                      <w:szCs w:val="20"/>
                    </w:rPr>
                    <w:t>Felvétel időpontja</w:t>
                  </w:r>
                </w:p>
              </w:tc>
              <w:tc>
                <w:tcPr>
                  <w:tcW w:w="992" w:type="dxa"/>
                </w:tcPr>
                <w:p w:rsidR="00F21D14" w:rsidRPr="001111BA" w:rsidRDefault="00F21D14" w:rsidP="00F21D14">
                  <w:pPr>
                    <w:rPr>
                      <w:b/>
                      <w:bCs/>
                      <w:sz w:val="20"/>
                      <w:szCs w:val="20"/>
                    </w:rPr>
                  </w:pPr>
                  <w:r w:rsidRPr="001111BA">
                    <w:rPr>
                      <w:b/>
                      <w:bCs/>
                      <w:sz w:val="20"/>
                      <w:szCs w:val="20"/>
                    </w:rPr>
                    <w:t>Lejárat</w:t>
                  </w:r>
                </w:p>
              </w:tc>
              <w:tc>
                <w:tcPr>
                  <w:tcW w:w="2203" w:type="dxa"/>
                </w:tcPr>
                <w:p w:rsidR="00F21D14" w:rsidRPr="001111BA" w:rsidRDefault="00F21D14" w:rsidP="00F21D14">
                  <w:pPr>
                    <w:rPr>
                      <w:b/>
                      <w:bCs/>
                      <w:sz w:val="20"/>
                      <w:szCs w:val="20"/>
                    </w:rPr>
                  </w:pPr>
                  <w:r w:rsidRPr="001111BA">
                    <w:rPr>
                      <w:b/>
                      <w:bCs/>
                      <w:sz w:val="20"/>
                      <w:szCs w:val="20"/>
                    </w:rPr>
                    <w:t>Jogszabály</w:t>
                  </w:r>
                </w:p>
              </w:tc>
            </w:tr>
            <w:tr w:rsidR="00F21D14" w:rsidRPr="001111BA" w:rsidTr="00F21D14">
              <w:trPr>
                <w:cantSplit/>
              </w:trPr>
              <w:tc>
                <w:tcPr>
                  <w:tcW w:w="1696" w:type="dxa"/>
                </w:tcPr>
                <w:p w:rsidR="00F21D14" w:rsidRPr="001111BA" w:rsidRDefault="00F21D14" w:rsidP="00F21D14">
                  <w:pPr>
                    <w:rPr>
                      <w:color w:val="C00000"/>
                      <w:sz w:val="20"/>
                      <w:szCs w:val="20"/>
                    </w:rPr>
                  </w:pPr>
                  <w:r w:rsidRPr="001111BA">
                    <w:rPr>
                      <w:i/>
                      <w:color w:val="C00000"/>
                      <w:sz w:val="20"/>
                      <w:szCs w:val="20"/>
                    </w:rPr>
                    <w:t>Artemisia absinthium</w:t>
                  </w:r>
                  <w:r w:rsidRPr="001111BA">
                    <w:rPr>
                      <w:color w:val="C00000"/>
                      <w:sz w:val="20"/>
                      <w:szCs w:val="20"/>
                    </w:rPr>
                    <w:t xml:space="preserve"> L.</w:t>
                  </w:r>
                </w:p>
              </w:tc>
              <w:tc>
                <w:tcPr>
                  <w:tcW w:w="1418" w:type="dxa"/>
                </w:tcPr>
                <w:p w:rsidR="00F21D14" w:rsidRPr="001111BA" w:rsidRDefault="00F21D14" w:rsidP="00F21D14">
                  <w:pPr>
                    <w:rPr>
                      <w:color w:val="C00000"/>
                      <w:sz w:val="20"/>
                      <w:szCs w:val="20"/>
                    </w:rPr>
                  </w:pPr>
                  <w:r w:rsidRPr="001111BA">
                    <w:rPr>
                      <w:color w:val="C00000"/>
                      <w:sz w:val="20"/>
                      <w:szCs w:val="20"/>
                    </w:rPr>
                    <w:t> </w:t>
                  </w:r>
                </w:p>
              </w:tc>
              <w:tc>
                <w:tcPr>
                  <w:tcW w:w="992" w:type="dxa"/>
                </w:tcPr>
                <w:p w:rsidR="00F21D14" w:rsidRPr="001111BA" w:rsidRDefault="00657B2F" w:rsidP="00F21D14">
                  <w:pPr>
                    <w:rPr>
                      <w:color w:val="C00000"/>
                      <w:sz w:val="20"/>
                      <w:szCs w:val="20"/>
                    </w:rPr>
                  </w:pPr>
                  <w:r>
                    <w:rPr>
                      <w:color w:val="C00000"/>
                      <w:sz w:val="20"/>
                      <w:szCs w:val="20"/>
                    </w:rPr>
                    <w:t>elutasítva</w:t>
                  </w:r>
                </w:p>
              </w:tc>
              <w:tc>
                <w:tcPr>
                  <w:tcW w:w="1134" w:type="dxa"/>
                </w:tcPr>
                <w:p w:rsidR="00F21D14" w:rsidRPr="001111BA" w:rsidRDefault="00F21D14" w:rsidP="00F21D14">
                  <w:pPr>
                    <w:rPr>
                      <w:color w:val="C00000"/>
                      <w:sz w:val="20"/>
                      <w:szCs w:val="20"/>
                    </w:rPr>
                  </w:pPr>
                  <w:r w:rsidRPr="001111BA">
                    <w:rPr>
                      <w:color w:val="C00000"/>
                      <w:sz w:val="20"/>
                      <w:szCs w:val="20"/>
                    </w:rPr>
                    <w:t> </w:t>
                  </w:r>
                </w:p>
              </w:tc>
              <w:tc>
                <w:tcPr>
                  <w:tcW w:w="992" w:type="dxa"/>
                </w:tcPr>
                <w:p w:rsidR="00F21D14" w:rsidRPr="001111BA" w:rsidRDefault="00F21D14" w:rsidP="00657B2F">
                  <w:pPr>
                    <w:rPr>
                      <w:color w:val="C00000"/>
                      <w:sz w:val="20"/>
                      <w:szCs w:val="20"/>
                    </w:rPr>
                  </w:pPr>
                  <w:r w:rsidRPr="001111BA">
                    <w:rPr>
                      <w:color w:val="C00000"/>
                      <w:sz w:val="20"/>
                      <w:szCs w:val="20"/>
                    </w:rPr>
                    <w:t> </w:t>
                  </w:r>
                </w:p>
              </w:tc>
              <w:tc>
                <w:tcPr>
                  <w:tcW w:w="2203" w:type="dxa"/>
                </w:tcPr>
                <w:p w:rsidR="00F21D14" w:rsidRPr="001111BA" w:rsidRDefault="00657B2F" w:rsidP="00F21D14">
                  <w:pPr>
                    <w:rPr>
                      <w:color w:val="C00000"/>
                      <w:sz w:val="20"/>
                      <w:szCs w:val="20"/>
                    </w:rPr>
                  </w:pPr>
                  <w:r w:rsidRPr="001111BA">
                    <w:rPr>
                      <w:sz w:val="20"/>
                      <w:szCs w:val="20"/>
                    </w:rPr>
                    <w:t xml:space="preserve">Reg. (EU) </w:t>
                  </w:r>
                  <w:r>
                    <w:rPr>
                      <w:color w:val="C00000"/>
                      <w:sz w:val="20"/>
                      <w:szCs w:val="20"/>
                    </w:rPr>
                    <w:t>2015/2046</w:t>
                  </w:r>
                </w:p>
              </w:tc>
            </w:tr>
            <w:tr w:rsidR="00F21D14" w:rsidRPr="001111BA" w:rsidTr="00F21D14">
              <w:trPr>
                <w:cantSplit/>
              </w:trPr>
              <w:tc>
                <w:tcPr>
                  <w:tcW w:w="1696" w:type="dxa"/>
                </w:tcPr>
                <w:p w:rsidR="00F21D14" w:rsidRPr="001111BA" w:rsidRDefault="00F21D14" w:rsidP="00F21D14">
                  <w:pPr>
                    <w:rPr>
                      <w:color w:val="C00000"/>
                      <w:sz w:val="20"/>
                      <w:szCs w:val="20"/>
                    </w:rPr>
                  </w:pPr>
                  <w:r w:rsidRPr="001111BA">
                    <w:rPr>
                      <w:i/>
                      <w:color w:val="C00000"/>
                      <w:sz w:val="20"/>
                      <w:szCs w:val="20"/>
                    </w:rPr>
                    <w:t>Artemisia vulgaris</w:t>
                  </w:r>
                  <w:r w:rsidRPr="001111BA">
                    <w:rPr>
                      <w:color w:val="C00000"/>
                      <w:sz w:val="20"/>
                      <w:szCs w:val="20"/>
                    </w:rPr>
                    <w:t xml:space="preserve"> L.</w:t>
                  </w:r>
                </w:p>
              </w:tc>
              <w:tc>
                <w:tcPr>
                  <w:tcW w:w="1418" w:type="dxa"/>
                </w:tcPr>
                <w:p w:rsidR="00F21D14" w:rsidRPr="001111BA" w:rsidRDefault="00F21D14" w:rsidP="00F21D14">
                  <w:pPr>
                    <w:rPr>
                      <w:color w:val="C00000"/>
                      <w:sz w:val="20"/>
                      <w:szCs w:val="20"/>
                    </w:rPr>
                  </w:pPr>
                  <w:r w:rsidRPr="001111BA">
                    <w:rPr>
                      <w:color w:val="C00000"/>
                      <w:sz w:val="20"/>
                      <w:szCs w:val="20"/>
                    </w:rPr>
                    <w:t> </w:t>
                  </w:r>
                </w:p>
              </w:tc>
              <w:tc>
                <w:tcPr>
                  <w:tcW w:w="992" w:type="dxa"/>
                </w:tcPr>
                <w:p w:rsidR="00F21D14" w:rsidRPr="001111BA" w:rsidRDefault="00657B2F" w:rsidP="00F21D14">
                  <w:pPr>
                    <w:rPr>
                      <w:color w:val="C00000"/>
                      <w:sz w:val="20"/>
                      <w:szCs w:val="20"/>
                    </w:rPr>
                  </w:pPr>
                  <w:r>
                    <w:rPr>
                      <w:color w:val="C00000"/>
                      <w:sz w:val="20"/>
                      <w:szCs w:val="20"/>
                    </w:rPr>
                    <w:t>elutasítva</w:t>
                  </w:r>
                </w:p>
              </w:tc>
              <w:tc>
                <w:tcPr>
                  <w:tcW w:w="1134" w:type="dxa"/>
                </w:tcPr>
                <w:p w:rsidR="00F21D14" w:rsidRPr="001111BA" w:rsidRDefault="00F21D14" w:rsidP="00F21D14">
                  <w:pPr>
                    <w:rPr>
                      <w:color w:val="C00000"/>
                      <w:sz w:val="20"/>
                      <w:szCs w:val="20"/>
                    </w:rPr>
                  </w:pPr>
                  <w:r w:rsidRPr="001111BA">
                    <w:rPr>
                      <w:color w:val="C00000"/>
                      <w:sz w:val="20"/>
                      <w:szCs w:val="20"/>
                    </w:rPr>
                    <w:t> </w:t>
                  </w:r>
                </w:p>
              </w:tc>
              <w:tc>
                <w:tcPr>
                  <w:tcW w:w="992" w:type="dxa"/>
                </w:tcPr>
                <w:p w:rsidR="00F21D14" w:rsidRPr="001111BA" w:rsidRDefault="00F21D14" w:rsidP="00657B2F">
                  <w:pPr>
                    <w:rPr>
                      <w:color w:val="C00000"/>
                    </w:rPr>
                  </w:pPr>
                  <w:r w:rsidRPr="001111BA">
                    <w:rPr>
                      <w:color w:val="C00000"/>
                      <w:sz w:val="20"/>
                      <w:szCs w:val="20"/>
                    </w:rPr>
                    <w:t> </w:t>
                  </w:r>
                </w:p>
              </w:tc>
              <w:tc>
                <w:tcPr>
                  <w:tcW w:w="2203" w:type="dxa"/>
                </w:tcPr>
                <w:p w:rsidR="00F21D14" w:rsidRPr="001111BA" w:rsidRDefault="00657B2F" w:rsidP="00657B2F">
                  <w:pPr>
                    <w:rPr>
                      <w:color w:val="C00000"/>
                      <w:sz w:val="20"/>
                      <w:szCs w:val="20"/>
                    </w:rPr>
                  </w:pPr>
                  <w:r w:rsidRPr="001111BA">
                    <w:rPr>
                      <w:sz w:val="20"/>
                      <w:szCs w:val="20"/>
                    </w:rPr>
                    <w:t>Reg. (EU)</w:t>
                  </w:r>
                  <w:r>
                    <w:rPr>
                      <w:sz w:val="20"/>
                      <w:szCs w:val="20"/>
                    </w:rPr>
                    <w:t xml:space="preserve"> </w:t>
                  </w:r>
                  <w:r>
                    <w:rPr>
                      <w:color w:val="C00000"/>
                      <w:sz w:val="20"/>
                      <w:szCs w:val="20"/>
                    </w:rPr>
                    <w:t>2015/1191</w:t>
                  </w:r>
                </w:p>
              </w:tc>
            </w:tr>
            <w:tr w:rsidR="00F21D14" w:rsidRPr="001111BA" w:rsidTr="00F21D14">
              <w:trPr>
                <w:cantSplit/>
              </w:trPr>
              <w:tc>
                <w:tcPr>
                  <w:tcW w:w="1696" w:type="dxa"/>
                </w:tcPr>
                <w:p w:rsidR="00F21D14" w:rsidRPr="001111BA" w:rsidRDefault="00F21D14" w:rsidP="00F21D14">
                  <w:pPr>
                    <w:rPr>
                      <w:sz w:val="20"/>
                      <w:szCs w:val="20"/>
                    </w:rPr>
                  </w:pPr>
                  <w:r w:rsidRPr="001111BA">
                    <w:rPr>
                      <w:sz w:val="20"/>
                      <w:szCs w:val="20"/>
                    </w:rPr>
                    <w:t>kalcium-hidroxid</w:t>
                  </w:r>
                </w:p>
              </w:tc>
              <w:tc>
                <w:tcPr>
                  <w:tcW w:w="1418" w:type="dxa"/>
                </w:tcPr>
                <w:p w:rsidR="00F21D14" w:rsidRPr="001111BA" w:rsidRDefault="00F21D14" w:rsidP="00F21D14">
                  <w:pPr>
                    <w:rPr>
                      <w:sz w:val="20"/>
                      <w:szCs w:val="20"/>
                    </w:rPr>
                  </w:pPr>
                  <w:r w:rsidRPr="001111BA">
                    <w:rPr>
                      <w:sz w:val="20"/>
                      <w:szCs w:val="20"/>
                    </w:rPr>
                    <w:t> </w:t>
                  </w:r>
                </w:p>
              </w:tc>
              <w:tc>
                <w:tcPr>
                  <w:tcW w:w="992" w:type="dxa"/>
                </w:tcPr>
                <w:p w:rsidR="00F21D14" w:rsidRPr="001111BA" w:rsidRDefault="00F21D14" w:rsidP="00F21D14">
                  <w:pPr>
                    <w:rPr>
                      <w:sz w:val="20"/>
                      <w:szCs w:val="20"/>
                    </w:rPr>
                  </w:pPr>
                  <w:r w:rsidRPr="001111BA">
                    <w:rPr>
                      <w:sz w:val="20"/>
                      <w:szCs w:val="20"/>
                    </w:rPr>
                    <w:t>felvett</w:t>
                  </w:r>
                </w:p>
              </w:tc>
              <w:tc>
                <w:tcPr>
                  <w:tcW w:w="1134" w:type="dxa"/>
                </w:tcPr>
                <w:p w:rsidR="00F21D14" w:rsidRPr="001111BA" w:rsidRDefault="00F21D14" w:rsidP="00F21D14">
                  <w:pPr>
                    <w:rPr>
                      <w:sz w:val="20"/>
                      <w:szCs w:val="20"/>
                    </w:rPr>
                  </w:pPr>
                  <w:r w:rsidRPr="001111BA">
                    <w:rPr>
                      <w:sz w:val="20"/>
                      <w:szCs w:val="20"/>
                    </w:rPr>
                    <w:t>01/07/2015</w:t>
                  </w:r>
                </w:p>
              </w:tc>
              <w:tc>
                <w:tcPr>
                  <w:tcW w:w="992" w:type="dxa"/>
                </w:tcPr>
                <w:p w:rsidR="00F21D14" w:rsidRPr="001111BA" w:rsidRDefault="00F21D14" w:rsidP="00F21D14">
                  <w:r w:rsidRPr="001111BA">
                    <w:rPr>
                      <w:sz w:val="20"/>
                      <w:szCs w:val="20"/>
                    </w:rPr>
                    <w:t> nincs</w:t>
                  </w:r>
                </w:p>
              </w:tc>
              <w:tc>
                <w:tcPr>
                  <w:tcW w:w="2203" w:type="dxa"/>
                </w:tcPr>
                <w:p w:rsidR="00F21D14" w:rsidRPr="001111BA" w:rsidRDefault="00F21D14" w:rsidP="00F21D14">
                  <w:pPr>
                    <w:rPr>
                      <w:sz w:val="20"/>
                      <w:szCs w:val="20"/>
                    </w:rPr>
                  </w:pPr>
                  <w:r w:rsidRPr="001111BA">
                    <w:rPr>
                      <w:sz w:val="20"/>
                      <w:szCs w:val="20"/>
                    </w:rPr>
                    <w:t>Reg. (EU) 2015/762</w:t>
                  </w:r>
                </w:p>
              </w:tc>
            </w:tr>
            <w:tr w:rsidR="00F21D14" w:rsidRPr="001111BA" w:rsidTr="00F21D14">
              <w:trPr>
                <w:cantSplit/>
              </w:trPr>
              <w:tc>
                <w:tcPr>
                  <w:tcW w:w="1696" w:type="dxa"/>
                </w:tcPr>
                <w:p w:rsidR="00F21D14" w:rsidRPr="001111BA" w:rsidRDefault="00F21D14" w:rsidP="00F21D14">
                  <w:pPr>
                    <w:rPr>
                      <w:sz w:val="20"/>
                      <w:szCs w:val="20"/>
                    </w:rPr>
                  </w:pPr>
                  <w:r w:rsidRPr="001111BA">
                    <w:rPr>
                      <w:sz w:val="20"/>
                      <w:szCs w:val="20"/>
                    </w:rPr>
                    <w:t>kitozán-hidroklorid</w:t>
                  </w:r>
                </w:p>
              </w:tc>
              <w:tc>
                <w:tcPr>
                  <w:tcW w:w="1418" w:type="dxa"/>
                </w:tcPr>
                <w:p w:rsidR="00F21D14" w:rsidRPr="001111BA" w:rsidRDefault="00F21D14" w:rsidP="00F21D14">
                  <w:pPr>
                    <w:rPr>
                      <w:sz w:val="20"/>
                      <w:szCs w:val="20"/>
                    </w:rPr>
                  </w:pPr>
                  <w:r w:rsidRPr="001111BA">
                    <w:rPr>
                      <w:sz w:val="20"/>
                      <w:szCs w:val="20"/>
                    </w:rPr>
                    <w:t> </w:t>
                  </w:r>
                </w:p>
              </w:tc>
              <w:tc>
                <w:tcPr>
                  <w:tcW w:w="992" w:type="dxa"/>
                </w:tcPr>
                <w:p w:rsidR="00F21D14" w:rsidRPr="001111BA" w:rsidRDefault="00F21D14" w:rsidP="00F21D14">
                  <w:pPr>
                    <w:rPr>
                      <w:sz w:val="20"/>
                      <w:szCs w:val="20"/>
                    </w:rPr>
                  </w:pPr>
                  <w:r w:rsidRPr="001111BA">
                    <w:rPr>
                      <w:sz w:val="20"/>
                      <w:szCs w:val="20"/>
                    </w:rPr>
                    <w:t>felvett</w:t>
                  </w:r>
                </w:p>
              </w:tc>
              <w:tc>
                <w:tcPr>
                  <w:tcW w:w="1134" w:type="dxa"/>
                </w:tcPr>
                <w:p w:rsidR="00F21D14" w:rsidRPr="001111BA" w:rsidRDefault="00F21D14" w:rsidP="00F21D14">
                  <w:pPr>
                    <w:rPr>
                      <w:sz w:val="20"/>
                      <w:szCs w:val="20"/>
                    </w:rPr>
                  </w:pPr>
                  <w:r w:rsidRPr="001111BA">
                    <w:rPr>
                      <w:sz w:val="20"/>
                      <w:szCs w:val="20"/>
                    </w:rPr>
                    <w:t>01/07/2014</w:t>
                  </w:r>
                </w:p>
              </w:tc>
              <w:tc>
                <w:tcPr>
                  <w:tcW w:w="992" w:type="dxa"/>
                </w:tcPr>
                <w:p w:rsidR="00F21D14" w:rsidRPr="001111BA" w:rsidRDefault="00F21D14" w:rsidP="00F21D14">
                  <w:r w:rsidRPr="001111BA">
                    <w:rPr>
                      <w:sz w:val="20"/>
                      <w:szCs w:val="20"/>
                    </w:rPr>
                    <w:t> nincs</w:t>
                  </w:r>
                </w:p>
              </w:tc>
              <w:tc>
                <w:tcPr>
                  <w:tcW w:w="2203" w:type="dxa"/>
                </w:tcPr>
                <w:p w:rsidR="00F21D14" w:rsidRPr="001111BA" w:rsidRDefault="00F21D14" w:rsidP="00657B2F">
                  <w:pPr>
                    <w:rPr>
                      <w:sz w:val="20"/>
                      <w:szCs w:val="20"/>
                    </w:rPr>
                  </w:pPr>
                  <w:r w:rsidRPr="001111BA">
                    <w:rPr>
                      <w:sz w:val="20"/>
                      <w:szCs w:val="20"/>
                    </w:rPr>
                    <w:t>Reg. (EU) 540/2011, Reg. (EU) 563/2014</w:t>
                  </w:r>
                </w:p>
              </w:tc>
            </w:tr>
            <w:tr w:rsidR="00F21D14" w:rsidRPr="001111BA" w:rsidTr="00F21D14">
              <w:trPr>
                <w:cantSplit/>
              </w:trPr>
              <w:tc>
                <w:tcPr>
                  <w:tcW w:w="1696" w:type="dxa"/>
                </w:tcPr>
                <w:p w:rsidR="00F21D14" w:rsidRPr="001111BA" w:rsidRDefault="00F21D14" w:rsidP="00F21D14">
                  <w:pPr>
                    <w:rPr>
                      <w:sz w:val="20"/>
                      <w:szCs w:val="20"/>
                    </w:rPr>
                  </w:pPr>
                  <w:r w:rsidRPr="001111BA">
                    <w:rPr>
                      <w:sz w:val="20"/>
                      <w:szCs w:val="20"/>
                    </w:rPr>
                    <w:t>Equisetum arvense L.</w:t>
                  </w:r>
                </w:p>
              </w:tc>
              <w:tc>
                <w:tcPr>
                  <w:tcW w:w="1418" w:type="dxa"/>
                </w:tcPr>
                <w:p w:rsidR="00F21D14" w:rsidRPr="001111BA" w:rsidRDefault="00F21D14" w:rsidP="00F21D14">
                  <w:pPr>
                    <w:rPr>
                      <w:sz w:val="20"/>
                      <w:szCs w:val="20"/>
                    </w:rPr>
                  </w:pPr>
                  <w:r w:rsidRPr="001111BA">
                    <w:rPr>
                      <w:sz w:val="20"/>
                      <w:szCs w:val="20"/>
                    </w:rPr>
                    <w:t> </w:t>
                  </w:r>
                </w:p>
              </w:tc>
              <w:tc>
                <w:tcPr>
                  <w:tcW w:w="992" w:type="dxa"/>
                </w:tcPr>
                <w:p w:rsidR="00F21D14" w:rsidRPr="001111BA" w:rsidRDefault="00F21D14" w:rsidP="00F21D14">
                  <w:pPr>
                    <w:rPr>
                      <w:sz w:val="20"/>
                      <w:szCs w:val="20"/>
                    </w:rPr>
                  </w:pPr>
                  <w:r w:rsidRPr="001111BA">
                    <w:rPr>
                      <w:sz w:val="20"/>
                      <w:szCs w:val="20"/>
                    </w:rPr>
                    <w:t>felvett</w:t>
                  </w:r>
                </w:p>
              </w:tc>
              <w:tc>
                <w:tcPr>
                  <w:tcW w:w="1134" w:type="dxa"/>
                </w:tcPr>
                <w:p w:rsidR="00F21D14" w:rsidRPr="001111BA" w:rsidRDefault="00F21D14" w:rsidP="00F21D14">
                  <w:pPr>
                    <w:rPr>
                      <w:sz w:val="20"/>
                      <w:szCs w:val="20"/>
                    </w:rPr>
                  </w:pPr>
                  <w:r w:rsidRPr="001111BA">
                    <w:rPr>
                      <w:sz w:val="20"/>
                      <w:szCs w:val="20"/>
                    </w:rPr>
                    <w:t>01/07/2014</w:t>
                  </w:r>
                </w:p>
              </w:tc>
              <w:tc>
                <w:tcPr>
                  <w:tcW w:w="992" w:type="dxa"/>
                </w:tcPr>
                <w:p w:rsidR="00F21D14" w:rsidRPr="001111BA" w:rsidRDefault="00F21D14" w:rsidP="00F21D14">
                  <w:r w:rsidRPr="001111BA">
                    <w:rPr>
                      <w:sz w:val="20"/>
                      <w:szCs w:val="20"/>
                    </w:rPr>
                    <w:t> nincs</w:t>
                  </w:r>
                </w:p>
              </w:tc>
              <w:tc>
                <w:tcPr>
                  <w:tcW w:w="2203" w:type="dxa"/>
                </w:tcPr>
                <w:p w:rsidR="00F21D14" w:rsidRPr="001111BA" w:rsidRDefault="00F21D14" w:rsidP="00657B2F">
                  <w:pPr>
                    <w:rPr>
                      <w:sz w:val="20"/>
                      <w:szCs w:val="20"/>
                    </w:rPr>
                  </w:pPr>
                  <w:r w:rsidRPr="001111BA">
                    <w:rPr>
                      <w:sz w:val="20"/>
                      <w:szCs w:val="20"/>
                    </w:rPr>
                    <w:t>Reg. (EU) 462/2014, Reg. (EU) 540/2011</w:t>
                  </w:r>
                </w:p>
              </w:tc>
            </w:tr>
            <w:tr w:rsidR="00F21D14" w:rsidRPr="001111BA" w:rsidTr="00F21D14">
              <w:trPr>
                <w:cantSplit/>
              </w:trPr>
              <w:tc>
                <w:tcPr>
                  <w:tcW w:w="1696" w:type="dxa"/>
                </w:tcPr>
                <w:p w:rsidR="00F21D14" w:rsidRPr="001111BA" w:rsidRDefault="00F21D14" w:rsidP="00F21D14">
                  <w:pPr>
                    <w:rPr>
                      <w:sz w:val="20"/>
                      <w:szCs w:val="20"/>
                    </w:rPr>
                  </w:pPr>
                  <w:r w:rsidRPr="001111BA">
                    <w:rPr>
                      <w:sz w:val="20"/>
                      <w:szCs w:val="20"/>
                    </w:rPr>
                    <w:t>lecitinek</w:t>
                  </w:r>
                </w:p>
              </w:tc>
              <w:tc>
                <w:tcPr>
                  <w:tcW w:w="1418" w:type="dxa"/>
                </w:tcPr>
                <w:p w:rsidR="00F21D14" w:rsidRPr="001111BA" w:rsidRDefault="00F21D14" w:rsidP="00F21D14">
                  <w:pPr>
                    <w:rPr>
                      <w:sz w:val="20"/>
                      <w:szCs w:val="20"/>
                    </w:rPr>
                  </w:pPr>
                  <w:r w:rsidRPr="001111BA">
                    <w:rPr>
                      <w:sz w:val="20"/>
                      <w:szCs w:val="20"/>
                    </w:rPr>
                    <w:t>FU</w:t>
                  </w:r>
                </w:p>
              </w:tc>
              <w:tc>
                <w:tcPr>
                  <w:tcW w:w="992" w:type="dxa"/>
                </w:tcPr>
                <w:p w:rsidR="00F21D14" w:rsidRPr="001111BA" w:rsidRDefault="00F21D14" w:rsidP="00F21D14">
                  <w:pPr>
                    <w:rPr>
                      <w:sz w:val="20"/>
                      <w:szCs w:val="20"/>
                    </w:rPr>
                  </w:pPr>
                  <w:r w:rsidRPr="001111BA">
                    <w:rPr>
                      <w:sz w:val="20"/>
                      <w:szCs w:val="20"/>
                    </w:rPr>
                    <w:t>felvett</w:t>
                  </w:r>
                </w:p>
              </w:tc>
              <w:tc>
                <w:tcPr>
                  <w:tcW w:w="1134" w:type="dxa"/>
                </w:tcPr>
                <w:p w:rsidR="00F21D14" w:rsidRPr="001111BA" w:rsidRDefault="00F21D14" w:rsidP="00F21D14">
                  <w:pPr>
                    <w:rPr>
                      <w:sz w:val="20"/>
                      <w:szCs w:val="20"/>
                    </w:rPr>
                  </w:pPr>
                  <w:r w:rsidRPr="001111BA">
                    <w:rPr>
                      <w:sz w:val="20"/>
                      <w:szCs w:val="20"/>
                    </w:rPr>
                    <w:t>01/07/2015</w:t>
                  </w:r>
                </w:p>
              </w:tc>
              <w:tc>
                <w:tcPr>
                  <w:tcW w:w="992" w:type="dxa"/>
                </w:tcPr>
                <w:p w:rsidR="00F21D14" w:rsidRPr="001111BA" w:rsidRDefault="00F21D14" w:rsidP="00F21D14">
                  <w:r w:rsidRPr="001111BA">
                    <w:rPr>
                      <w:sz w:val="20"/>
                      <w:szCs w:val="20"/>
                    </w:rPr>
                    <w:t> nincs</w:t>
                  </w:r>
                </w:p>
              </w:tc>
              <w:tc>
                <w:tcPr>
                  <w:tcW w:w="2203" w:type="dxa"/>
                </w:tcPr>
                <w:p w:rsidR="00F21D14" w:rsidRPr="001111BA" w:rsidRDefault="00F21D14" w:rsidP="00657B2F">
                  <w:pPr>
                    <w:rPr>
                      <w:sz w:val="20"/>
                      <w:szCs w:val="20"/>
                    </w:rPr>
                  </w:pPr>
                  <w:r w:rsidRPr="001111BA">
                    <w:rPr>
                      <w:sz w:val="20"/>
                      <w:szCs w:val="20"/>
                    </w:rPr>
                    <w:t>Reg. (EU) 2015/1116, Reg. (EU) 540/2011</w:t>
                  </w:r>
                </w:p>
              </w:tc>
            </w:tr>
            <w:tr w:rsidR="00F21D14" w:rsidRPr="001111BA" w:rsidTr="00F21D14">
              <w:trPr>
                <w:cantSplit/>
              </w:trPr>
              <w:tc>
                <w:tcPr>
                  <w:tcW w:w="1696" w:type="dxa"/>
                </w:tcPr>
                <w:p w:rsidR="00F21D14" w:rsidRPr="001111BA" w:rsidRDefault="00F21D14" w:rsidP="00F21D14">
                  <w:pPr>
                    <w:rPr>
                      <w:color w:val="C00000"/>
                      <w:sz w:val="20"/>
                      <w:szCs w:val="20"/>
                    </w:rPr>
                  </w:pPr>
                  <w:r w:rsidRPr="001111BA">
                    <w:rPr>
                      <w:i/>
                      <w:color w:val="C00000"/>
                      <w:sz w:val="20"/>
                      <w:szCs w:val="20"/>
                    </w:rPr>
                    <w:t>Rheum officinale</w:t>
                  </w:r>
                  <w:r w:rsidRPr="001111BA">
                    <w:rPr>
                      <w:color w:val="C00000"/>
                      <w:sz w:val="20"/>
                      <w:szCs w:val="20"/>
                    </w:rPr>
                    <w:t xml:space="preserve"> Baill.</w:t>
                  </w:r>
                </w:p>
              </w:tc>
              <w:tc>
                <w:tcPr>
                  <w:tcW w:w="1418" w:type="dxa"/>
                </w:tcPr>
                <w:p w:rsidR="00F21D14" w:rsidRPr="001111BA" w:rsidRDefault="00F21D14" w:rsidP="00F21D14">
                  <w:pPr>
                    <w:rPr>
                      <w:color w:val="C00000"/>
                      <w:sz w:val="20"/>
                      <w:szCs w:val="20"/>
                    </w:rPr>
                  </w:pPr>
                  <w:r w:rsidRPr="001111BA">
                    <w:rPr>
                      <w:color w:val="C00000"/>
                      <w:sz w:val="20"/>
                      <w:szCs w:val="20"/>
                    </w:rPr>
                    <w:t> </w:t>
                  </w:r>
                </w:p>
              </w:tc>
              <w:tc>
                <w:tcPr>
                  <w:tcW w:w="992" w:type="dxa"/>
                </w:tcPr>
                <w:p w:rsidR="00F21D14" w:rsidRPr="001111BA" w:rsidRDefault="00657B2F" w:rsidP="00F21D14">
                  <w:pPr>
                    <w:rPr>
                      <w:color w:val="C00000"/>
                      <w:sz w:val="20"/>
                      <w:szCs w:val="20"/>
                    </w:rPr>
                  </w:pPr>
                  <w:r>
                    <w:rPr>
                      <w:color w:val="C00000"/>
                      <w:sz w:val="20"/>
                      <w:szCs w:val="20"/>
                    </w:rPr>
                    <w:t>elutasítva</w:t>
                  </w:r>
                </w:p>
              </w:tc>
              <w:tc>
                <w:tcPr>
                  <w:tcW w:w="1134" w:type="dxa"/>
                </w:tcPr>
                <w:p w:rsidR="00F21D14" w:rsidRPr="001111BA" w:rsidRDefault="00F21D14" w:rsidP="00F21D14">
                  <w:pPr>
                    <w:rPr>
                      <w:color w:val="C00000"/>
                      <w:sz w:val="20"/>
                      <w:szCs w:val="20"/>
                    </w:rPr>
                  </w:pPr>
                  <w:r w:rsidRPr="001111BA">
                    <w:rPr>
                      <w:color w:val="C00000"/>
                      <w:sz w:val="20"/>
                      <w:szCs w:val="20"/>
                    </w:rPr>
                    <w:t> </w:t>
                  </w:r>
                </w:p>
              </w:tc>
              <w:tc>
                <w:tcPr>
                  <w:tcW w:w="992" w:type="dxa"/>
                </w:tcPr>
                <w:p w:rsidR="00F21D14" w:rsidRPr="001111BA" w:rsidRDefault="00F21D14" w:rsidP="00657B2F">
                  <w:pPr>
                    <w:rPr>
                      <w:color w:val="C00000"/>
                    </w:rPr>
                  </w:pPr>
                  <w:r w:rsidRPr="001111BA">
                    <w:rPr>
                      <w:color w:val="C00000"/>
                      <w:sz w:val="20"/>
                      <w:szCs w:val="20"/>
                    </w:rPr>
                    <w:t> </w:t>
                  </w:r>
                </w:p>
              </w:tc>
              <w:tc>
                <w:tcPr>
                  <w:tcW w:w="2203" w:type="dxa"/>
                </w:tcPr>
                <w:p w:rsidR="00F21D14" w:rsidRPr="001111BA" w:rsidRDefault="00657B2F" w:rsidP="00657B2F">
                  <w:pPr>
                    <w:rPr>
                      <w:color w:val="C00000"/>
                      <w:sz w:val="20"/>
                      <w:szCs w:val="20"/>
                    </w:rPr>
                  </w:pPr>
                  <w:r w:rsidRPr="001111BA">
                    <w:rPr>
                      <w:sz w:val="20"/>
                      <w:szCs w:val="20"/>
                    </w:rPr>
                    <w:t>Reg. (EU)</w:t>
                  </w:r>
                  <w:r>
                    <w:rPr>
                      <w:sz w:val="20"/>
                      <w:szCs w:val="20"/>
                    </w:rPr>
                    <w:t xml:space="preserve"> </w:t>
                  </w:r>
                  <w:r>
                    <w:rPr>
                      <w:color w:val="C00000"/>
                      <w:sz w:val="20"/>
                      <w:szCs w:val="20"/>
                    </w:rPr>
                    <w:t>2015/707</w:t>
                  </w:r>
                </w:p>
              </w:tc>
            </w:tr>
            <w:tr w:rsidR="00F21D14" w:rsidRPr="001111BA" w:rsidTr="00F21D14">
              <w:trPr>
                <w:cantSplit/>
              </w:trPr>
              <w:tc>
                <w:tcPr>
                  <w:tcW w:w="1696" w:type="dxa"/>
                </w:tcPr>
                <w:p w:rsidR="00F21D14" w:rsidRPr="001111BA" w:rsidRDefault="00F21D14" w:rsidP="00F21D14">
                  <w:pPr>
                    <w:rPr>
                      <w:sz w:val="20"/>
                      <w:szCs w:val="20"/>
                    </w:rPr>
                  </w:pPr>
                  <w:r w:rsidRPr="001111BA">
                    <w:rPr>
                      <w:sz w:val="20"/>
                      <w:szCs w:val="20"/>
                    </w:rPr>
                    <w:t>Salix spp. cortex</w:t>
                  </w:r>
                </w:p>
              </w:tc>
              <w:tc>
                <w:tcPr>
                  <w:tcW w:w="1418" w:type="dxa"/>
                </w:tcPr>
                <w:p w:rsidR="00F21D14" w:rsidRPr="001111BA" w:rsidRDefault="00F21D14" w:rsidP="00F21D14">
                  <w:pPr>
                    <w:rPr>
                      <w:sz w:val="20"/>
                      <w:szCs w:val="20"/>
                    </w:rPr>
                  </w:pPr>
                  <w:r w:rsidRPr="001111BA">
                    <w:rPr>
                      <w:sz w:val="20"/>
                      <w:szCs w:val="20"/>
                    </w:rPr>
                    <w:t>FU</w:t>
                  </w:r>
                </w:p>
              </w:tc>
              <w:tc>
                <w:tcPr>
                  <w:tcW w:w="992" w:type="dxa"/>
                </w:tcPr>
                <w:p w:rsidR="00F21D14" w:rsidRPr="001111BA" w:rsidRDefault="00F21D14" w:rsidP="00F21D14">
                  <w:pPr>
                    <w:rPr>
                      <w:sz w:val="20"/>
                      <w:szCs w:val="20"/>
                    </w:rPr>
                  </w:pPr>
                  <w:r w:rsidRPr="001111BA">
                    <w:rPr>
                      <w:sz w:val="20"/>
                      <w:szCs w:val="20"/>
                    </w:rPr>
                    <w:t>felvett</w:t>
                  </w:r>
                </w:p>
              </w:tc>
              <w:tc>
                <w:tcPr>
                  <w:tcW w:w="1134" w:type="dxa"/>
                </w:tcPr>
                <w:p w:rsidR="00F21D14" w:rsidRPr="001111BA" w:rsidRDefault="00F21D14" w:rsidP="00F21D14">
                  <w:pPr>
                    <w:rPr>
                      <w:sz w:val="20"/>
                      <w:szCs w:val="20"/>
                    </w:rPr>
                  </w:pPr>
                  <w:r w:rsidRPr="001111BA">
                    <w:rPr>
                      <w:sz w:val="20"/>
                      <w:szCs w:val="20"/>
                    </w:rPr>
                    <w:t>01/07/2015</w:t>
                  </w:r>
                </w:p>
              </w:tc>
              <w:tc>
                <w:tcPr>
                  <w:tcW w:w="992" w:type="dxa"/>
                </w:tcPr>
                <w:p w:rsidR="00F21D14" w:rsidRPr="001111BA" w:rsidRDefault="00F21D14" w:rsidP="00F21D14">
                  <w:r w:rsidRPr="001111BA">
                    <w:rPr>
                      <w:sz w:val="20"/>
                      <w:szCs w:val="20"/>
                    </w:rPr>
                    <w:t> nincs</w:t>
                  </w:r>
                </w:p>
              </w:tc>
              <w:tc>
                <w:tcPr>
                  <w:tcW w:w="2203" w:type="dxa"/>
                </w:tcPr>
                <w:p w:rsidR="00F21D14" w:rsidRPr="001111BA" w:rsidRDefault="00F21D14" w:rsidP="00657B2F">
                  <w:pPr>
                    <w:rPr>
                      <w:sz w:val="20"/>
                      <w:szCs w:val="20"/>
                    </w:rPr>
                  </w:pPr>
                  <w:r w:rsidRPr="001111BA">
                    <w:rPr>
                      <w:sz w:val="20"/>
                      <w:szCs w:val="20"/>
                    </w:rPr>
                    <w:t>Reg. (EU) 2015/1107, Reg. (EU) 540/2011</w:t>
                  </w:r>
                </w:p>
              </w:tc>
            </w:tr>
            <w:tr w:rsidR="00F21D14" w:rsidRPr="001111BA" w:rsidTr="00F21D14">
              <w:trPr>
                <w:cantSplit/>
              </w:trPr>
              <w:tc>
                <w:tcPr>
                  <w:tcW w:w="1696" w:type="dxa"/>
                </w:tcPr>
                <w:p w:rsidR="00F21D14" w:rsidRPr="001111BA" w:rsidRDefault="00F21D14" w:rsidP="00F21D14">
                  <w:pPr>
                    <w:rPr>
                      <w:sz w:val="20"/>
                      <w:szCs w:val="20"/>
                    </w:rPr>
                  </w:pPr>
                  <w:r w:rsidRPr="001111BA">
                    <w:rPr>
                      <w:sz w:val="20"/>
                      <w:szCs w:val="20"/>
                    </w:rPr>
                    <w:t>szaharóz</w:t>
                  </w:r>
                </w:p>
              </w:tc>
              <w:tc>
                <w:tcPr>
                  <w:tcW w:w="1418" w:type="dxa"/>
                </w:tcPr>
                <w:p w:rsidR="00F21D14" w:rsidRPr="001111BA" w:rsidRDefault="00F21D14" w:rsidP="00F21D14">
                  <w:pPr>
                    <w:rPr>
                      <w:sz w:val="20"/>
                      <w:szCs w:val="20"/>
                    </w:rPr>
                  </w:pPr>
                  <w:r w:rsidRPr="001111BA">
                    <w:rPr>
                      <w:sz w:val="20"/>
                      <w:szCs w:val="20"/>
                    </w:rPr>
                    <w:t>EL</w:t>
                  </w:r>
                </w:p>
              </w:tc>
              <w:tc>
                <w:tcPr>
                  <w:tcW w:w="992" w:type="dxa"/>
                </w:tcPr>
                <w:p w:rsidR="00F21D14" w:rsidRPr="001111BA" w:rsidRDefault="00F21D14" w:rsidP="00F21D14">
                  <w:pPr>
                    <w:rPr>
                      <w:sz w:val="20"/>
                      <w:szCs w:val="20"/>
                    </w:rPr>
                  </w:pPr>
                  <w:r w:rsidRPr="001111BA">
                    <w:rPr>
                      <w:sz w:val="20"/>
                      <w:szCs w:val="20"/>
                    </w:rPr>
                    <w:t>felvett</w:t>
                  </w:r>
                </w:p>
              </w:tc>
              <w:tc>
                <w:tcPr>
                  <w:tcW w:w="1134" w:type="dxa"/>
                </w:tcPr>
                <w:p w:rsidR="00F21D14" w:rsidRPr="001111BA" w:rsidRDefault="00F21D14" w:rsidP="00F21D14">
                  <w:pPr>
                    <w:rPr>
                      <w:sz w:val="20"/>
                      <w:szCs w:val="20"/>
                    </w:rPr>
                  </w:pPr>
                  <w:r w:rsidRPr="001111BA">
                    <w:rPr>
                      <w:sz w:val="20"/>
                      <w:szCs w:val="20"/>
                    </w:rPr>
                    <w:t>01/01/2015</w:t>
                  </w:r>
                </w:p>
              </w:tc>
              <w:tc>
                <w:tcPr>
                  <w:tcW w:w="992" w:type="dxa"/>
                </w:tcPr>
                <w:p w:rsidR="00F21D14" w:rsidRPr="001111BA" w:rsidRDefault="00F21D14" w:rsidP="00F21D14">
                  <w:r w:rsidRPr="001111BA">
                    <w:rPr>
                      <w:sz w:val="20"/>
                      <w:szCs w:val="20"/>
                    </w:rPr>
                    <w:t> nincs</w:t>
                  </w:r>
                </w:p>
              </w:tc>
              <w:tc>
                <w:tcPr>
                  <w:tcW w:w="2203" w:type="dxa"/>
                </w:tcPr>
                <w:p w:rsidR="00F21D14" w:rsidRPr="001111BA" w:rsidRDefault="00F21D14" w:rsidP="00657B2F">
                  <w:pPr>
                    <w:rPr>
                      <w:sz w:val="20"/>
                      <w:szCs w:val="20"/>
                    </w:rPr>
                  </w:pPr>
                  <w:r w:rsidRPr="001111BA">
                    <w:rPr>
                      <w:sz w:val="20"/>
                      <w:szCs w:val="20"/>
                    </w:rPr>
                    <w:t>Reg. (EU) 916/2014</w:t>
                  </w:r>
                </w:p>
              </w:tc>
            </w:tr>
            <w:tr w:rsidR="00F21D14" w:rsidRPr="001111BA" w:rsidTr="00F21D14">
              <w:trPr>
                <w:cantSplit/>
              </w:trPr>
              <w:tc>
                <w:tcPr>
                  <w:tcW w:w="1696" w:type="dxa"/>
                </w:tcPr>
                <w:p w:rsidR="00F21D14" w:rsidRPr="001111BA" w:rsidRDefault="00F21D14" w:rsidP="00F21D14">
                  <w:pPr>
                    <w:rPr>
                      <w:color w:val="C00000"/>
                      <w:sz w:val="20"/>
                      <w:szCs w:val="20"/>
                    </w:rPr>
                  </w:pPr>
                  <w:r w:rsidRPr="001111BA">
                    <w:rPr>
                      <w:i/>
                      <w:color w:val="C00000"/>
                      <w:sz w:val="20"/>
                      <w:szCs w:val="20"/>
                    </w:rPr>
                    <w:t>Tanacetum vulgare</w:t>
                  </w:r>
                  <w:r w:rsidRPr="001111BA">
                    <w:rPr>
                      <w:color w:val="C00000"/>
                      <w:sz w:val="20"/>
                      <w:szCs w:val="20"/>
                    </w:rPr>
                    <w:t xml:space="preserve"> L.</w:t>
                  </w:r>
                </w:p>
              </w:tc>
              <w:tc>
                <w:tcPr>
                  <w:tcW w:w="1418" w:type="dxa"/>
                </w:tcPr>
                <w:p w:rsidR="00F21D14" w:rsidRPr="001111BA" w:rsidRDefault="00F21D14" w:rsidP="00F21D14">
                  <w:pPr>
                    <w:rPr>
                      <w:color w:val="C00000"/>
                      <w:sz w:val="20"/>
                      <w:szCs w:val="20"/>
                    </w:rPr>
                  </w:pPr>
                  <w:r w:rsidRPr="001111BA">
                    <w:rPr>
                      <w:color w:val="C00000"/>
                      <w:sz w:val="20"/>
                      <w:szCs w:val="20"/>
                    </w:rPr>
                    <w:t> </w:t>
                  </w:r>
                </w:p>
              </w:tc>
              <w:tc>
                <w:tcPr>
                  <w:tcW w:w="992" w:type="dxa"/>
                </w:tcPr>
                <w:p w:rsidR="00F21D14" w:rsidRPr="001111BA" w:rsidRDefault="00657B2F" w:rsidP="00F21D14">
                  <w:pPr>
                    <w:rPr>
                      <w:color w:val="C00000"/>
                      <w:sz w:val="20"/>
                      <w:szCs w:val="20"/>
                    </w:rPr>
                  </w:pPr>
                  <w:r>
                    <w:rPr>
                      <w:color w:val="C00000"/>
                      <w:sz w:val="20"/>
                      <w:szCs w:val="20"/>
                    </w:rPr>
                    <w:t>elutasítva</w:t>
                  </w:r>
                </w:p>
              </w:tc>
              <w:tc>
                <w:tcPr>
                  <w:tcW w:w="1134" w:type="dxa"/>
                </w:tcPr>
                <w:p w:rsidR="00F21D14" w:rsidRPr="001111BA" w:rsidRDefault="00F21D14" w:rsidP="00F21D14">
                  <w:pPr>
                    <w:rPr>
                      <w:color w:val="C00000"/>
                      <w:sz w:val="20"/>
                      <w:szCs w:val="20"/>
                    </w:rPr>
                  </w:pPr>
                  <w:r w:rsidRPr="001111BA">
                    <w:rPr>
                      <w:color w:val="C00000"/>
                      <w:sz w:val="20"/>
                      <w:szCs w:val="20"/>
                    </w:rPr>
                    <w:t> </w:t>
                  </w:r>
                </w:p>
              </w:tc>
              <w:tc>
                <w:tcPr>
                  <w:tcW w:w="992" w:type="dxa"/>
                </w:tcPr>
                <w:p w:rsidR="00F21D14" w:rsidRPr="001111BA" w:rsidRDefault="00F21D14" w:rsidP="00657B2F">
                  <w:pPr>
                    <w:rPr>
                      <w:color w:val="C00000"/>
                    </w:rPr>
                  </w:pPr>
                  <w:r w:rsidRPr="001111BA">
                    <w:rPr>
                      <w:color w:val="C00000"/>
                      <w:sz w:val="20"/>
                      <w:szCs w:val="20"/>
                    </w:rPr>
                    <w:t> </w:t>
                  </w:r>
                </w:p>
              </w:tc>
              <w:tc>
                <w:tcPr>
                  <w:tcW w:w="2203" w:type="dxa"/>
                </w:tcPr>
                <w:p w:rsidR="00F21D14" w:rsidRPr="001111BA" w:rsidRDefault="00657B2F" w:rsidP="00F21D14">
                  <w:pPr>
                    <w:rPr>
                      <w:color w:val="C00000"/>
                      <w:sz w:val="20"/>
                      <w:szCs w:val="20"/>
                    </w:rPr>
                  </w:pPr>
                  <w:r w:rsidRPr="001111BA">
                    <w:rPr>
                      <w:sz w:val="20"/>
                      <w:szCs w:val="20"/>
                    </w:rPr>
                    <w:t xml:space="preserve">Reg. (EU) </w:t>
                  </w:r>
                  <w:r>
                    <w:rPr>
                      <w:color w:val="C00000"/>
                      <w:sz w:val="20"/>
                      <w:szCs w:val="20"/>
                    </w:rPr>
                    <w:t>2015/2083</w:t>
                  </w:r>
                </w:p>
              </w:tc>
            </w:tr>
            <w:tr w:rsidR="00F21D14" w:rsidRPr="001111BA" w:rsidTr="00F21D14">
              <w:trPr>
                <w:cantSplit/>
              </w:trPr>
              <w:tc>
                <w:tcPr>
                  <w:tcW w:w="1696" w:type="dxa"/>
                </w:tcPr>
                <w:p w:rsidR="00F21D14" w:rsidRPr="001111BA" w:rsidRDefault="00F21D14" w:rsidP="00F21D14">
                  <w:pPr>
                    <w:rPr>
                      <w:sz w:val="20"/>
                      <w:szCs w:val="20"/>
                    </w:rPr>
                  </w:pPr>
                  <w:r w:rsidRPr="001111BA">
                    <w:rPr>
                      <w:sz w:val="20"/>
                      <w:szCs w:val="20"/>
                    </w:rPr>
                    <w:t>ecet</w:t>
                  </w:r>
                </w:p>
              </w:tc>
              <w:tc>
                <w:tcPr>
                  <w:tcW w:w="1418" w:type="dxa"/>
                </w:tcPr>
                <w:p w:rsidR="00F21D14" w:rsidRPr="001111BA" w:rsidRDefault="00F21D14" w:rsidP="00F21D14">
                  <w:pPr>
                    <w:rPr>
                      <w:sz w:val="20"/>
                      <w:szCs w:val="20"/>
                    </w:rPr>
                  </w:pPr>
                  <w:r w:rsidRPr="001111BA">
                    <w:rPr>
                      <w:sz w:val="20"/>
                      <w:szCs w:val="20"/>
                    </w:rPr>
                    <w:t>BA, FU</w:t>
                  </w:r>
                </w:p>
              </w:tc>
              <w:tc>
                <w:tcPr>
                  <w:tcW w:w="992" w:type="dxa"/>
                </w:tcPr>
                <w:p w:rsidR="00F21D14" w:rsidRPr="001111BA" w:rsidRDefault="00F21D14" w:rsidP="00F21D14">
                  <w:pPr>
                    <w:rPr>
                      <w:sz w:val="20"/>
                      <w:szCs w:val="20"/>
                    </w:rPr>
                  </w:pPr>
                  <w:r w:rsidRPr="001111BA">
                    <w:rPr>
                      <w:sz w:val="20"/>
                      <w:szCs w:val="20"/>
                    </w:rPr>
                    <w:t>felvett</w:t>
                  </w:r>
                </w:p>
              </w:tc>
              <w:tc>
                <w:tcPr>
                  <w:tcW w:w="1134" w:type="dxa"/>
                </w:tcPr>
                <w:p w:rsidR="00F21D14" w:rsidRPr="001111BA" w:rsidRDefault="00F21D14" w:rsidP="00F21D14">
                  <w:pPr>
                    <w:rPr>
                      <w:sz w:val="20"/>
                      <w:szCs w:val="20"/>
                    </w:rPr>
                  </w:pPr>
                  <w:r w:rsidRPr="001111BA">
                    <w:rPr>
                      <w:sz w:val="20"/>
                      <w:szCs w:val="20"/>
                    </w:rPr>
                    <w:t>01/07/2015</w:t>
                  </w:r>
                </w:p>
              </w:tc>
              <w:tc>
                <w:tcPr>
                  <w:tcW w:w="992" w:type="dxa"/>
                </w:tcPr>
                <w:p w:rsidR="00F21D14" w:rsidRPr="001111BA" w:rsidRDefault="00F21D14" w:rsidP="00F21D14">
                  <w:r w:rsidRPr="001111BA">
                    <w:rPr>
                      <w:sz w:val="20"/>
                      <w:szCs w:val="20"/>
                    </w:rPr>
                    <w:t> nincs</w:t>
                  </w:r>
                </w:p>
              </w:tc>
              <w:tc>
                <w:tcPr>
                  <w:tcW w:w="2203" w:type="dxa"/>
                </w:tcPr>
                <w:p w:rsidR="00F21D14" w:rsidRPr="001111BA" w:rsidRDefault="00F21D14" w:rsidP="00657B2F">
                  <w:pPr>
                    <w:rPr>
                      <w:sz w:val="20"/>
                      <w:szCs w:val="20"/>
                    </w:rPr>
                  </w:pPr>
                  <w:r w:rsidRPr="001111BA">
                    <w:rPr>
                      <w:sz w:val="20"/>
                      <w:szCs w:val="20"/>
                    </w:rPr>
                    <w:t>Reg. (EU) 2015/1108, Reg. (EU) 540/2011</w:t>
                  </w:r>
                </w:p>
              </w:tc>
            </w:tr>
            <w:tr w:rsidR="00657B2F" w:rsidRPr="001111BA" w:rsidTr="00F21D14">
              <w:trPr>
                <w:cantSplit/>
              </w:trPr>
              <w:tc>
                <w:tcPr>
                  <w:tcW w:w="1696" w:type="dxa"/>
                </w:tcPr>
                <w:p w:rsidR="00657B2F" w:rsidRPr="001111BA" w:rsidRDefault="00657B2F" w:rsidP="00F21D14">
                  <w:pPr>
                    <w:rPr>
                      <w:sz w:val="20"/>
                      <w:szCs w:val="20"/>
                    </w:rPr>
                  </w:pPr>
                  <w:r>
                    <w:rPr>
                      <w:sz w:val="20"/>
                      <w:szCs w:val="20"/>
                    </w:rPr>
                    <w:t>szódabikarbóna</w:t>
                  </w:r>
                </w:p>
              </w:tc>
              <w:tc>
                <w:tcPr>
                  <w:tcW w:w="1418" w:type="dxa"/>
                </w:tcPr>
                <w:p w:rsidR="00657B2F" w:rsidRPr="001111BA" w:rsidRDefault="00657B2F" w:rsidP="00F21D14">
                  <w:pPr>
                    <w:rPr>
                      <w:sz w:val="20"/>
                      <w:szCs w:val="20"/>
                    </w:rPr>
                  </w:pPr>
                  <w:r>
                    <w:rPr>
                      <w:sz w:val="20"/>
                      <w:szCs w:val="20"/>
                    </w:rPr>
                    <w:t>FU</w:t>
                  </w:r>
                </w:p>
              </w:tc>
              <w:tc>
                <w:tcPr>
                  <w:tcW w:w="992" w:type="dxa"/>
                </w:tcPr>
                <w:p w:rsidR="00657B2F" w:rsidRPr="001111BA" w:rsidRDefault="00657B2F" w:rsidP="00F21D14">
                  <w:pPr>
                    <w:rPr>
                      <w:sz w:val="20"/>
                      <w:szCs w:val="20"/>
                    </w:rPr>
                  </w:pPr>
                  <w:r w:rsidRPr="001111BA">
                    <w:rPr>
                      <w:sz w:val="20"/>
                      <w:szCs w:val="20"/>
                    </w:rPr>
                    <w:t>felvett</w:t>
                  </w:r>
                </w:p>
              </w:tc>
              <w:tc>
                <w:tcPr>
                  <w:tcW w:w="1134" w:type="dxa"/>
                </w:tcPr>
                <w:p w:rsidR="00657B2F" w:rsidRPr="001111BA" w:rsidRDefault="00657B2F" w:rsidP="00F21D14">
                  <w:pPr>
                    <w:rPr>
                      <w:sz w:val="20"/>
                      <w:szCs w:val="20"/>
                    </w:rPr>
                  </w:pPr>
                  <w:r>
                    <w:rPr>
                      <w:sz w:val="20"/>
                      <w:szCs w:val="20"/>
                    </w:rPr>
                    <w:t>8/12/2015</w:t>
                  </w:r>
                </w:p>
              </w:tc>
              <w:tc>
                <w:tcPr>
                  <w:tcW w:w="992" w:type="dxa"/>
                </w:tcPr>
                <w:p w:rsidR="00657B2F" w:rsidRPr="001111BA" w:rsidRDefault="00657B2F" w:rsidP="00F21D14">
                  <w:pPr>
                    <w:rPr>
                      <w:sz w:val="20"/>
                      <w:szCs w:val="20"/>
                    </w:rPr>
                  </w:pPr>
                  <w:r w:rsidRPr="001111BA">
                    <w:rPr>
                      <w:sz w:val="20"/>
                      <w:szCs w:val="20"/>
                    </w:rPr>
                    <w:t>nincs</w:t>
                  </w:r>
                </w:p>
              </w:tc>
              <w:tc>
                <w:tcPr>
                  <w:tcW w:w="2203" w:type="dxa"/>
                </w:tcPr>
                <w:p w:rsidR="00657B2F" w:rsidRPr="001111BA" w:rsidRDefault="00657B2F" w:rsidP="00F21D14">
                  <w:pPr>
                    <w:rPr>
                      <w:sz w:val="20"/>
                      <w:szCs w:val="20"/>
                    </w:rPr>
                  </w:pPr>
                  <w:r w:rsidRPr="001111BA">
                    <w:rPr>
                      <w:sz w:val="20"/>
                      <w:szCs w:val="20"/>
                    </w:rPr>
                    <w:t xml:space="preserve">Reg. (EU) </w:t>
                  </w:r>
                  <w:r>
                    <w:rPr>
                      <w:sz w:val="20"/>
                      <w:szCs w:val="20"/>
                    </w:rPr>
                    <w:t>2015/2069</w:t>
                  </w:r>
                </w:p>
              </w:tc>
            </w:tr>
            <w:tr w:rsidR="00657B2F" w:rsidRPr="001111BA" w:rsidTr="00F21D14">
              <w:trPr>
                <w:cantSplit/>
              </w:trPr>
              <w:tc>
                <w:tcPr>
                  <w:tcW w:w="1696" w:type="dxa"/>
                </w:tcPr>
                <w:p w:rsidR="00657B2F" w:rsidRDefault="00657B2F" w:rsidP="00F21D14">
                  <w:pPr>
                    <w:rPr>
                      <w:sz w:val="20"/>
                      <w:szCs w:val="20"/>
                    </w:rPr>
                  </w:pPr>
                  <w:r>
                    <w:rPr>
                      <w:sz w:val="20"/>
                      <w:szCs w:val="20"/>
                    </w:rPr>
                    <w:t>fruktóz</w:t>
                  </w:r>
                </w:p>
              </w:tc>
              <w:tc>
                <w:tcPr>
                  <w:tcW w:w="1418" w:type="dxa"/>
                </w:tcPr>
                <w:p w:rsidR="00657B2F" w:rsidRDefault="00C077A7" w:rsidP="00F21D14">
                  <w:pPr>
                    <w:rPr>
                      <w:sz w:val="20"/>
                      <w:szCs w:val="20"/>
                    </w:rPr>
                  </w:pPr>
                  <w:r>
                    <w:rPr>
                      <w:sz w:val="20"/>
                      <w:szCs w:val="20"/>
                    </w:rPr>
                    <w:t>EL</w:t>
                  </w:r>
                </w:p>
              </w:tc>
              <w:tc>
                <w:tcPr>
                  <w:tcW w:w="992" w:type="dxa"/>
                </w:tcPr>
                <w:p w:rsidR="00657B2F" w:rsidRPr="001111BA" w:rsidRDefault="00657B2F" w:rsidP="00F21D14">
                  <w:pPr>
                    <w:rPr>
                      <w:sz w:val="20"/>
                      <w:szCs w:val="20"/>
                    </w:rPr>
                  </w:pPr>
                  <w:r w:rsidRPr="001111BA">
                    <w:rPr>
                      <w:sz w:val="20"/>
                      <w:szCs w:val="20"/>
                    </w:rPr>
                    <w:t>felvett</w:t>
                  </w:r>
                </w:p>
              </w:tc>
              <w:tc>
                <w:tcPr>
                  <w:tcW w:w="1134" w:type="dxa"/>
                </w:tcPr>
                <w:p w:rsidR="00657B2F" w:rsidRDefault="00657B2F" w:rsidP="00F21D14">
                  <w:pPr>
                    <w:rPr>
                      <w:sz w:val="20"/>
                      <w:szCs w:val="20"/>
                    </w:rPr>
                  </w:pPr>
                  <w:r>
                    <w:rPr>
                      <w:sz w:val="20"/>
                      <w:szCs w:val="20"/>
                    </w:rPr>
                    <w:t>01/10/2015</w:t>
                  </w:r>
                </w:p>
              </w:tc>
              <w:tc>
                <w:tcPr>
                  <w:tcW w:w="992" w:type="dxa"/>
                </w:tcPr>
                <w:p w:rsidR="00657B2F" w:rsidRPr="001111BA" w:rsidRDefault="00657B2F" w:rsidP="00F21D14">
                  <w:pPr>
                    <w:rPr>
                      <w:sz w:val="20"/>
                      <w:szCs w:val="20"/>
                    </w:rPr>
                  </w:pPr>
                  <w:r w:rsidRPr="001111BA">
                    <w:rPr>
                      <w:sz w:val="20"/>
                      <w:szCs w:val="20"/>
                    </w:rPr>
                    <w:t>nincs</w:t>
                  </w:r>
                </w:p>
              </w:tc>
              <w:tc>
                <w:tcPr>
                  <w:tcW w:w="2203" w:type="dxa"/>
                </w:tcPr>
                <w:p w:rsidR="00657B2F" w:rsidRPr="001111BA" w:rsidRDefault="00657B2F" w:rsidP="00657B2F">
                  <w:pPr>
                    <w:rPr>
                      <w:sz w:val="20"/>
                      <w:szCs w:val="20"/>
                    </w:rPr>
                  </w:pPr>
                  <w:r w:rsidRPr="001111BA">
                    <w:rPr>
                      <w:sz w:val="20"/>
                      <w:szCs w:val="20"/>
                    </w:rPr>
                    <w:t xml:space="preserve">Reg. (EU) </w:t>
                  </w:r>
                  <w:r>
                    <w:rPr>
                      <w:sz w:val="20"/>
                      <w:szCs w:val="20"/>
                    </w:rPr>
                    <w:t>2015/1392</w:t>
                  </w:r>
                </w:p>
              </w:tc>
            </w:tr>
          </w:tbl>
          <w:p w:rsidR="00F21D14" w:rsidRPr="001111BA" w:rsidRDefault="00F21D14" w:rsidP="00F21D14">
            <w:pPr>
              <w:pStyle w:val="CM4"/>
              <w:spacing w:before="60" w:after="60"/>
              <w:rPr>
                <w:rFonts w:cs="EUAlbertina"/>
                <w:color w:val="000000"/>
                <w:sz w:val="19"/>
                <w:szCs w:val="19"/>
              </w:rPr>
            </w:pPr>
          </w:p>
        </w:tc>
      </w:tr>
    </w:tbl>
    <w:p w:rsidR="00F21D14" w:rsidRDefault="00F21D14" w:rsidP="00F21D14">
      <w:pPr>
        <w:jc w:val="center"/>
      </w:pPr>
    </w:p>
    <w:p w:rsidR="00657B2F" w:rsidRPr="001111BA" w:rsidRDefault="00657B2F" w:rsidP="00F21D14">
      <w:pPr>
        <w:jc w:val="center"/>
      </w:pPr>
    </w:p>
    <w:p w:rsidR="00F21D14" w:rsidRPr="001111BA" w:rsidRDefault="00F21D14" w:rsidP="00F21D14">
      <w:pPr>
        <w:jc w:val="both"/>
        <w:rPr>
          <w:b/>
        </w:rPr>
      </w:pPr>
      <w:r w:rsidRPr="001111BA">
        <w:rPr>
          <w:b/>
        </w:rPr>
        <w:t>Az engedélyező hatóság tehát nem köteles kiadni az egyszerű anyagokra a növényvédő szer felhasználás</w:t>
      </w:r>
      <w:r w:rsidR="00EE0DCD" w:rsidRPr="001111BA">
        <w:rPr>
          <w:b/>
        </w:rPr>
        <w:t>á</w:t>
      </w:r>
      <w:r w:rsidRPr="001111BA">
        <w:rPr>
          <w:b/>
        </w:rPr>
        <w:t>ra és forgalmazás</w:t>
      </w:r>
      <w:r w:rsidR="00EE0DCD" w:rsidRPr="001111BA">
        <w:rPr>
          <w:b/>
        </w:rPr>
        <w:t>á</w:t>
      </w:r>
      <w:r w:rsidRPr="001111BA">
        <w:rPr>
          <w:b/>
        </w:rPr>
        <w:t>ra szóló engedélyt, így az egyszerű anyagok alkalmazására nemzeti szinten nem kell kérelmet sem benyújtani. Ugyanakkor a NÉBIH-NTAI a 89/2004 FVM rendelet 9.</w:t>
      </w:r>
      <w:r w:rsidR="00EE0DCD" w:rsidRPr="001111BA">
        <w:rPr>
          <w:b/>
        </w:rPr>
        <w:t xml:space="preserve"> </w:t>
      </w:r>
      <w:r w:rsidRPr="001111BA">
        <w:rPr>
          <w:b/>
        </w:rPr>
        <w:t xml:space="preserve">számú melléklet „A” része alapján kérelemre engedélyezheti az egyszerű anyagok termékeit </w:t>
      </w:r>
      <w:r w:rsidR="005B6DD1" w:rsidRPr="001111BA">
        <w:rPr>
          <w:b/>
        </w:rPr>
        <w:t>10 évre.</w:t>
      </w:r>
    </w:p>
    <w:p w:rsidR="00F21D14" w:rsidRPr="001111BA" w:rsidRDefault="00F21D14" w:rsidP="00F21D14">
      <w:pPr>
        <w:jc w:val="both"/>
      </w:pPr>
      <w:r w:rsidRPr="001111BA">
        <w:t xml:space="preserve">Annak érdekében, hogy az egyszerű anyagok megfeleljenek az adott anyagra vonatkozó jogszabályban szereplő egyedi rendelkezéseknek és az áttekintő jelentésben (review report) </w:t>
      </w:r>
      <w:r w:rsidRPr="001111BA">
        <w:lastRenderedPageBreak/>
        <w:t xml:space="preserve">foglaltaknak, az engedélyező hatóság közzéteszi honlapján az egyes egyszerű anyagok felhasználásának feltételeit. </w:t>
      </w:r>
    </w:p>
    <w:p w:rsidR="00F21D14" w:rsidRPr="001111BA" w:rsidRDefault="00F21D14" w:rsidP="00F21D14">
      <w:pPr>
        <w:pStyle w:val="CM4"/>
        <w:spacing w:before="60" w:after="60"/>
        <w:jc w:val="both"/>
      </w:pPr>
      <w:r w:rsidRPr="001111BA">
        <w:t xml:space="preserve">Bár az egyszerű anyag terméke nem lehet növényvédő szer, a címke utalhat arra, hogy a </w:t>
      </w:r>
      <w:r w:rsidR="002C505E" w:rsidRPr="001111BA">
        <w:rPr>
          <w:rFonts w:ascii="Times New Roman" w:hAnsi="Times New Roman"/>
          <w:bCs/>
          <w:i/>
        </w:rPr>
        <w:t>1107/2009/EK r</w:t>
      </w:r>
      <w:r w:rsidRPr="001111BA">
        <w:rPr>
          <w:i/>
        </w:rPr>
        <w:t xml:space="preserve">endelet </w:t>
      </w:r>
      <w:r w:rsidRPr="001111BA">
        <w:t>23. cikkének megfelelően hagyták jóvá és tartalmaznia kell a termékre jellemző jóváhagyási körülményeket. A terméknek biztonságosnak kell lennie, azaz meg kell felelnie a termékbiztonságról szóló 2001/95/EK irányelvnek.</w:t>
      </w:r>
    </w:p>
    <w:p w:rsidR="002C52F3" w:rsidRPr="001111BA" w:rsidRDefault="002C52F3" w:rsidP="002C52F3">
      <w:pPr>
        <w:rPr>
          <w:i/>
          <w:highlight w:val="yellow"/>
        </w:rPr>
      </w:pPr>
    </w:p>
    <w:p w:rsidR="00A67CD2" w:rsidRPr="001111BA" w:rsidRDefault="002C52F3" w:rsidP="002C52F3">
      <w:pPr>
        <w:ind w:left="567" w:hanging="567"/>
        <w:jc w:val="both"/>
        <w:rPr>
          <w:i/>
          <w:color w:val="000000"/>
        </w:rPr>
      </w:pPr>
      <w:r w:rsidRPr="001111BA">
        <w:rPr>
          <w:i/>
          <w:color w:val="000000"/>
        </w:rPr>
        <w:t>Forrás: dr. Pethő Ágnes</w:t>
      </w:r>
    </w:p>
    <w:p w:rsidR="002C52F3" w:rsidRPr="001111BA" w:rsidRDefault="002C52F3" w:rsidP="002C52F3">
      <w:pPr>
        <w:ind w:left="567" w:hanging="567"/>
        <w:jc w:val="both"/>
        <w:rPr>
          <w:color w:val="000000"/>
          <w:highlight w:val="yellow"/>
        </w:rPr>
      </w:pPr>
    </w:p>
    <w:p w:rsidR="002C52F3" w:rsidRPr="001111BA" w:rsidRDefault="002C52F3" w:rsidP="002C52F3">
      <w:pPr>
        <w:ind w:left="567" w:hanging="567"/>
        <w:jc w:val="both"/>
        <w:rPr>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A67CD2" w:rsidRPr="001111BA" w:rsidTr="00F21D14">
        <w:tc>
          <w:tcPr>
            <w:tcW w:w="9212" w:type="dxa"/>
            <w:shd w:val="clear" w:color="auto" w:fill="C2D69B"/>
          </w:tcPr>
          <w:p w:rsidR="00A67CD2" w:rsidRPr="001111BA" w:rsidRDefault="00A0519C" w:rsidP="00A0519C">
            <w:pPr>
              <w:pStyle w:val="Listaszerbekezds"/>
              <w:numPr>
                <w:ilvl w:val="1"/>
                <w:numId w:val="12"/>
              </w:numPr>
              <w:spacing w:after="0" w:line="240" w:lineRule="auto"/>
              <w:jc w:val="both"/>
              <w:rPr>
                <w:b/>
              </w:rPr>
            </w:pPr>
            <w:r w:rsidRPr="001111BA">
              <w:rPr>
                <w:rFonts w:ascii="Times New Roman" w:hAnsi="Times New Roman"/>
                <w:b/>
                <w:sz w:val="24"/>
                <w:szCs w:val="24"/>
              </w:rPr>
              <w:t>Déli zónából származó szermaradék vizsgálatok elfogadhatósága</w:t>
            </w:r>
          </w:p>
        </w:tc>
      </w:tr>
    </w:tbl>
    <w:p w:rsidR="00A67CD2" w:rsidRPr="001111BA" w:rsidRDefault="00A67CD2" w:rsidP="00A67CD2">
      <w:pPr>
        <w:rPr>
          <w:i/>
          <w:highlight w:val="yellow"/>
        </w:rPr>
      </w:pPr>
    </w:p>
    <w:p w:rsidR="00A0519C" w:rsidRPr="001111BA" w:rsidRDefault="00A0519C" w:rsidP="00A0519C">
      <w:pPr>
        <w:jc w:val="both"/>
      </w:pPr>
      <w:r w:rsidRPr="001111BA">
        <w:t>A Növényekkel, Állatokkal, Élelmiszerrel és Takarmánnyal foglalkozó Állandó Bizottság (SCOPAFF) Szermaradék Szekciójának 2015. november 30-i ülésén jóváhagyólagos tudomásul vételre került a SANCO/7525/VI/95 10.1 verziószámú útmutatója. Ebbe a verzióba a magyar hatóság által kezdeményezett módosítási javaslatok, több más javaslattal együtt nem kerültek bele. A Bizottság az útmutató általános felülvizsgálatát középtávon tervezi, azután, hogy a OECD 509 számú útmutató (Crop Field Trial) folyamatban lévő módosítását nemzetközi szinten elfogadják. Az OECD útmutató módosítási javaslatai között szerepel többek között a különböző zónákban elvégzett szermaradék vizsgálatok elfogadásának/figyelembe</w:t>
      </w:r>
      <w:r w:rsidR="00B85F19">
        <w:t xml:space="preserve"> </w:t>
      </w:r>
      <w:r w:rsidRPr="001111BA">
        <w:t xml:space="preserve">vételének lehetősége. </w:t>
      </w:r>
    </w:p>
    <w:p w:rsidR="00A0519C" w:rsidRPr="001111BA" w:rsidRDefault="00A0519C" w:rsidP="00A0519C">
      <w:pPr>
        <w:jc w:val="both"/>
      </w:pPr>
      <w:r w:rsidRPr="001111BA">
        <w:t>A SANCO útmutató legújabb változatában megerősítik, hogy a 1107/2009/EK rendeletben meghatározott szermaradék zónákból származó vizsgálatok fogadhatók csak el a készítmény</w:t>
      </w:r>
      <w:r w:rsidR="00431ED7">
        <w:t>-</w:t>
      </w:r>
      <w:r w:rsidRPr="001111BA">
        <w:t>engedélyezés során. Tehát az ezzel kapcsolatos status quo nem változik.</w:t>
      </w:r>
    </w:p>
    <w:p w:rsidR="001E33A5" w:rsidRPr="001111BA" w:rsidRDefault="001E33A5" w:rsidP="00A0519C">
      <w:pPr>
        <w:jc w:val="both"/>
      </w:pPr>
    </w:p>
    <w:p w:rsidR="00A0519C" w:rsidRPr="001111BA" w:rsidRDefault="00A0519C" w:rsidP="00A0519C">
      <w:pPr>
        <w:jc w:val="both"/>
      </w:pPr>
      <w:r w:rsidRPr="001111BA">
        <w:t xml:space="preserve">A magyar engedélyező hatóság az utóbbi időben kiemelten kezeli a kiskultúrákban jelentkező növényvédelmi technológiai hiányok fokozatos felszámolását. Ennek egyik módja lehet az elsősorban a déli zónában termesztett növények (a NISZ által korábban megküldött lista alapján) esetében a déli zónában elvégzett szermaradék vizsgálatok felhasználása az engedélyezés során. </w:t>
      </w:r>
      <w:r w:rsidR="001E33A5" w:rsidRPr="001111BA">
        <w:t xml:space="preserve">A hatóság törekszik arra, hogy a déli zónából származó vizsgálatok elfogadásával könnyítse a kiskultúrák engedélyezését, azonban a </w:t>
      </w:r>
      <w:r w:rsidRPr="001111BA">
        <w:t xml:space="preserve">vizsgálatok elfogadása nem automatikus. Az ilyen irányú kérelmek beadását megelőzően minden esetben szükséges egyeztetni a hatósággal. </w:t>
      </w:r>
    </w:p>
    <w:p w:rsidR="001E33A5" w:rsidRPr="001111BA" w:rsidRDefault="001E33A5" w:rsidP="00A0519C">
      <w:pPr>
        <w:jc w:val="both"/>
      </w:pPr>
    </w:p>
    <w:p w:rsidR="00A0519C" w:rsidRPr="001111BA" w:rsidRDefault="00A0519C" w:rsidP="00A0519C">
      <w:pPr>
        <w:jc w:val="both"/>
      </w:pPr>
      <w:r w:rsidRPr="001111BA">
        <w:t>Felhívjuk továbbá a cégek figyelmét, hogy a hatóanyagok megújítását követő készítmény felülvizsgálatok során, illetve a hatóanyagok szermaradék határértékeinek felülvizsgálatát követően –</w:t>
      </w:r>
      <w:r w:rsidR="006E442C">
        <w:t xml:space="preserve"> </w:t>
      </w:r>
      <w:r w:rsidRPr="001111BA">
        <w:t>amennyiben az MRL csökkentést eredményez – bizonyos kultúrák törlésre kerülhetnek. Ezekben az esetekben jogilag alátámasztott érvekkel nem tudjuk az engedélyezett felhasználásokat megvédeni.</w:t>
      </w:r>
    </w:p>
    <w:p w:rsidR="00A0519C" w:rsidRPr="001111BA" w:rsidRDefault="00A0519C" w:rsidP="00A0519C">
      <w:pPr>
        <w:jc w:val="both"/>
      </w:pPr>
    </w:p>
    <w:p w:rsidR="00A0519C" w:rsidRDefault="00A0519C" w:rsidP="00A67CD2">
      <w:pPr>
        <w:rPr>
          <w:i/>
        </w:rPr>
      </w:pPr>
      <w:r w:rsidRPr="001111BA">
        <w:rPr>
          <w:i/>
        </w:rPr>
        <w:t xml:space="preserve">Forrás: Griff Tamás </w:t>
      </w:r>
    </w:p>
    <w:p w:rsidR="00670F3D" w:rsidRPr="001111BA" w:rsidRDefault="00670F3D" w:rsidP="00A67CD2">
      <w:pPr>
        <w:rPr>
          <w:i/>
        </w:rPr>
      </w:pPr>
    </w:p>
    <w:p w:rsidR="00A67CD2" w:rsidRPr="001111BA" w:rsidRDefault="00A67CD2" w:rsidP="00A67CD2">
      <w:pPr>
        <w:jc w:val="both"/>
        <w:rPr>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A67CD2" w:rsidRPr="001111BA" w:rsidTr="00F21D14">
        <w:tc>
          <w:tcPr>
            <w:tcW w:w="9212" w:type="dxa"/>
            <w:shd w:val="clear" w:color="auto" w:fill="C2D69B"/>
          </w:tcPr>
          <w:p w:rsidR="00A67CD2" w:rsidRPr="001111BA" w:rsidRDefault="00960711" w:rsidP="00C42CF6">
            <w:pPr>
              <w:pStyle w:val="Listaszerbekezds"/>
              <w:numPr>
                <w:ilvl w:val="1"/>
                <w:numId w:val="12"/>
              </w:numPr>
              <w:spacing w:after="0" w:line="240" w:lineRule="auto"/>
              <w:jc w:val="both"/>
              <w:rPr>
                <w:rFonts w:ascii="Times New Roman" w:hAnsi="Times New Roman"/>
                <w:b/>
                <w:sz w:val="24"/>
                <w:szCs w:val="24"/>
              </w:rPr>
            </w:pPr>
            <w:r w:rsidRPr="001111BA">
              <w:rPr>
                <w:rFonts w:ascii="Times New Roman" w:hAnsi="Times New Roman"/>
                <w:b/>
                <w:sz w:val="24"/>
                <w:szCs w:val="24"/>
              </w:rPr>
              <w:t xml:space="preserve">A szükséghelyzeti </w:t>
            </w:r>
            <w:r w:rsidR="00C42CF6" w:rsidRPr="001111BA">
              <w:rPr>
                <w:rFonts w:ascii="Times New Roman" w:hAnsi="Times New Roman"/>
                <w:b/>
                <w:sz w:val="24"/>
                <w:szCs w:val="24"/>
              </w:rPr>
              <w:t>kérelmek</w:t>
            </w:r>
          </w:p>
        </w:tc>
      </w:tr>
    </w:tbl>
    <w:p w:rsidR="00A67CD2" w:rsidRPr="001111BA" w:rsidRDefault="00A67CD2" w:rsidP="00A67CD2">
      <w:pPr>
        <w:rPr>
          <w:i/>
          <w:highlight w:val="yellow"/>
        </w:rPr>
      </w:pPr>
    </w:p>
    <w:p w:rsidR="003930A8" w:rsidRPr="001111BA" w:rsidRDefault="003930A8" w:rsidP="003930A8">
      <w:pPr>
        <w:jc w:val="both"/>
      </w:pPr>
      <w:r w:rsidRPr="001111BA">
        <w:t>A 1107/2009/EK Rendelet 53. cikke alapján növényvédelmi szükséghelyzetek esetén engedélykérelmet egy adott készítményre és annak meghatározott kultúrában történő felhasználására a mezőgazdasági termelőkön kívül – a felhasználók felhatalmazása alapján – benyújthatja a készítmény engedélytulajdonosa vagy különböző köztestületek is.</w:t>
      </w:r>
    </w:p>
    <w:p w:rsidR="00C42CF6" w:rsidRPr="001111BA" w:rsidRDefault="00C42CF6" w:rsidP="003930A8">
      <w:pPr>
        <w:jc w:val="both"/>
      </w:pPr>
    </w:p>
    <w:p w:rsidR="00C42CF6" w:rsidRPr="001111BA" w:rsidRDefault="00C42CF6" w:rsidP="003930A8">
      <w:pPr>
        <w:jc w:val="both"/>
      </w:pPr>
      <w:r w:rsidRPr="001111BA">
        <w:t>A szükséghelyzet fennállásának elbírálása nemzet</w:t>
      </w:r>
      <w:r w:rsidR="00CB3418">
        <w:t>i</w:t>
      </w:r>
      <w:r w:rsidRPr="001111BA">
        <w:t xml:space="preserve"> hatáskör, de az Európai Bizottság adatokat kérhet az engedély indokoltságának alátámasztására a hatóságtól, ahogy ez többször elő is fordult.</w:t>
      </w:r>
    </w:p>
    <w:p w:rsidR="001E33A5" w:rsidRPr="001111BA" w:rsidRDefault="00C42CF6" w:rsidP="003930A8">
      <w:pPr>
        <w:jc w:val="both"/>
      </w:pPr>
      <w:r w:rsidRPr="001111BA">
        <w:t xml:space="preserve">Felhívjuk a figyelmet, hogy a szükséghelyzeti engedélyezés intézménye egy pillanatnyilag megoldatlan növényvédelemi probléma elhárítására való, de nem helyettesítheti a hosszú távú </w:t>
      </w:r>
      <w:r w:rsidRPr="001111BA">
        <w:lastRenderedPageBreak/>
        <w:t xml:space="preserve">engedélyezést. </w:t>
      </w:r>
      <w:r w:rsidR="001E33A5" w:rsidRPr="001111BA">
        <w:t>S</w:t>
      </w:r>
      <w:r w:rsidRPr="001111BA">
        <w:t>zámos esetben kerül sor a kérelem elutasítására</w:t>
      </w:r>
      <w:r w:rsidR="001E33A5" w:rsidRPr="001111BA">
        <w:t>, amennyiben az nem kellően megalapozott</w:t>
      </w:r>
      <w:r w:rsidR="00283402">
        <w:t>, a jövőben erre fokozott figyelmet fordítunk!</w:t>
      </w:r>
      <w:r w:rsidR="001E33A5" w:rsidRPr="001111BA">
        <w:t xml:space="preserve"> </w:t>
      </w:r>
    </w:p>
    <w:p w:rsidR="00C42CF6" w:rsidRPr="001111BA" w:rsidRDefault="001E33A5" w:rsidP="003930A8">
      <w:pPr>
        <w:jc w:val="both"/>
      </w:pPr>
      <w:r w:rsidRPr="001111BA">
        <w:t>Kérjük a tisztelt ügyfeleket, hogy évenként ismétlődő igény esetén a szabályos eljárás szerinti kérelmet nyújtsanak be az engedély kiterjesztésére, vagy a nem engedélyezett készítmény legalizálására.</w:t>
      </w:r>
    </w:p>
    <w:p w:rsidR="00C42CF6" w:rsidRPr="001111BA" w:rsidRDefault="00C42CF6" w:rsidP="003930A8">
      <w:pPr>
        <w:jc w:val="both"/>
      </w:pPr>
    </w:p>
    <w:p w:rsidR="00A67CD2" w:rsidRPr="001111BA" w:rsidRDefault="003930A8" w:rsidP="003930A8">
      <w:pPr>
        <w:jc w:val="both"/>
        <w:rPr>
          <w:i/>
        </w:rPr>
      </w:pPr>
      <w:r w:rsidRPr="001111BA">
        <w:rPr>
          <w:i/>
        </w:rPr>
        <w:t>Forrás: Baranyi Tibor</w:t>
      </w:r>
    </w:p>
    <w:p w:rsidR="003930A8" w:rsidRPr="001111BA" w:rsidRDefault="003930A8" w:rsidP="003930A8">
      <w:pPr>
        <w:jc w:val="both"/>
        <w:rPr>
          <w:i/>
        </w:rPr>
      </w:pPr>
    </w:p>
    <w:p w:rsidR="003930A8" w:rsidRPr="001111BA" w:rsidRDefault="003930A8" w:rsidP="003930A8">
      <w:pPr>
        <w:jc w:val="both"/>
        <w:rPr>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A67CD2" w:rsidRPr="001111BA" w:rsidTr="00F21D14">
        <w:tc>
          <w:tcPr>
            <w:tcW w:w="9212" w:type="dxa"/>
            <w:shd w:val="clear" w:color="auto" w:fill="C2D69B"/>
          </w:tcPr>
          <w:p w:rsidR="00A67CD2" w:rsidRPr="001111BA" w:rsidRDefault="00B432BA" w:rsidP="00BB7872">
            <w:pPr>
              <w:pStyle w:val="Listaszerbekezds"/>
              <w:numPr>
                <w:ilvl w:val="1"/>
                <w:numId w:val="12"/>
              </w:numPr>
              <w:spacing w:after="0" w:line="240" w:lineRule="auto"/>
              <w:jc w:val="both"/>
              <w:rPr>
                <w:b/>
              </w:rPr>
            </w:pPr>
            <w:r w:rsidRPr="001111BA">
              <w:rPr>
                <w:rFonts w:ascii="Times New Roman" w:hAnsi="Times New Roman"/>
                <w:b/>
                <w:sz w:val="24"/>
                <w:szCs w:val="24"/>
              </w:rPr>
              <w:t>Európai Uniós adatbázis a zonális rendszerben történő engedélyezésre és szükséghelyzeti engedélyek kiadására vonatkozóan szoftver</w:t>
            </w:r>
          </w:p>
        </w:tc>
      </w:tr>
    </w:tbl>
    <w:p w:rsidR="00B432BA" w:rsidRPr="001111BA" w:rsidRDefault="00B432BA" w:rsidP="00B432BA">
      <w:pPr>
        <w:jc w:val="both"/>
      </w:pPr>
    </w:p>
    <w:p w:rsidR="00B432BA" w:rsidRPr="001111BA" w:rsidRDefault="00B432BA" w:rsidP="00B432BA">
      <w:pPr>
        <w:jc w:val="both"/>
      </w:pPr>
      <w:r w:rsidRPr="001111BA">
        <w:t xml:space="preserve">Az Európai Bizottság a készítmények zonális engedélyezésével kapcsolatosan egy új adminisztrációs rendszer dolgozott ki. Ez az ún. PPP Application Management System, vagy rövidítve PPP AMS. Ez egy internetes felület, mely regisztrációköteles mind a kérelmezők/engedélytulajdonosok, mind a hatósági ügyintézők számára. Jelenleg önkéntes formában működik, viszont 2016 során az Európai Bizottság egy jogszabály elfogadását tervezi, mely kötelezővé teszi a rendszer használatát minden olyan készítményre vonatkozóan, melyet a 1107/2009/EK rendeletnek megfelelően nyújtanak be új zonális engedélyre, zonális módosításra, továbbá a 43. cikk szerinti készítmény-felülvizsgálatra. Ezt az interneten keresztüli adminisztrációs felületet tervezik a szükséghelyzeti engedélyekre is kiterjeszteni, de ennek az ügymenetével kapcsolatosan még nincs pontos információnk. </w:t>
      </w:r>
    </w:p>
    <w:p w:rsidR="00B432BA" w:rsidRPr="001111BA" w:rsidRDefault="00B432BA" w:rsidP="00B432BA">
      <w:pPr>
        <w:jc w:val="both"/>
      </w:pPr>
    </w:p>
    <w:p w:rsidR="00B432BA" w:rsidRPr="001111BA" w:rsidRDefault="00B432BA" w:rsidP="00B432BA">
      <w:pPr>
        <w:jc w:val="both"/>
      </w:pPr>
      <w:r w:rsidRPr="001111BA">
        <w:t xml:space="preserve">Azok a kérelmezők/engedélytulajdonosok, akik az ECPA, ECCA, vagy IBMA munkacsoportok tagjai, tőlük fognak hozzáférési jogosultságot kapni ehhez a rendszerhez. Akik ezeknek a munkacsoportoknak nem tagjai és 2016 után kívánnak új zonális engedélykérelmet, vagy zonális (43. cikk szerint) felülvizsgálati kérelmet benyújtani, azoknak hatóságunk fog hozzáférést adni. Kérjük, amennyiben ez a helyzet fennáll, akkor azt a </w:t>
      </w:r>
      <w:hyperlink r:id="rId42" w:history="1">
        <w:r w:rsidRPr="001111BA">
          <w:rPr>
            <w:rStyle w:val="Hiperhivatkozs"/>
          </w:rPr>
          <w:t>jankaa@nebih.gov.hu</w:t>
        </w:r>
      </w:hyperlink>
      <w:r w:rsidRPr="001111BA">
        <w:t xml:space="preserve"> e-mail címre jelezni szíveskedjenek. </w:t>
      </w:r>
    </w:p>
    <w:p w:rsidR="00B432BA" w:rsidRPr="001111BA" w:rsidRDefault="00B432BA" w:rsidP="00B432BA"/>
    <w:p w:rsidR="00B432BA" w:rsidRPr="001111BA" w:rsidRDefault="00B432BA" w:rsidP="00B432BA">
      <w:r w:rsidRPr="001111BA">
        <w:t>További információt a PPP AMS-mel kapcsolatban a DG SANTE honlapján találnak:</w:t>
      </w:r>
    </w:p>
    <w:p w:rsidR="00B432BA" w:rsidRPr="001111BA" w:rsidRDefault="00664E31" w:rsidP="00B432BA">
      <w:hyperlink r:id="rId43" w:history="1">
        <w:r w:rsidR="00B432BA" w:rsidRPr="001111BA">
          <w:rPr>
            <w:rStyle w:val="Hiperhivatkozs"/>
          </w:rPr>
          <w:t>http://ec.europa.eu/food/plant/pesticides/authorisation_of_ppp/pppams/index_en.htm</w:t>
        </w:r>
      </w:hyperlink>
    </w:p>
    <w:p w:rsidR="00B432BA" w:rsidRPr="001111BA" w:rsidRDefault="00B432BA" w:rsidP="00B432BA">
      <w:pPr>
        <w:ind w:right="150"/>
      </w:pPr>
    </w:p>
    <w:p w:rsidR="00A67CD2" w:rsidRPr="001111BA" w:rsidRDefault="00B432BA" w:rsidP="00B432BA">
      <w:pPr>
        <w:ind w:right="150"/>
        <w:rPr>
          <w:b/>
          <w:bCs/>
          <w:i/>
          <w:iCs/>
          <w:sz w:val="28"/>
          <w:szCs w:val="28"/>
          <w:highlight w:val="yellow"/>
        </w:rPr>
      </w:pPr>
      <w:r w:rsidRPr="001111BA">
        <w:rPr>
          <w:i/>
        </w:rPr>
        <w:t>Forrás: Janka Adél</w:t>
      </w:r>
    </w:p>
    <w:p w:rsidR="00A67CD2" w:rsidRPr="001111BA" w:rsidRDefault="00A67CD2" w:rsidP="00A67CD2">
      <w:pPr>
        <w:rPr>
          <w:i/>
          <w:highlight w:val="yellow"/>
        </w:rPr>
      </w:pPr>
    </w:p>
    <w:p w:rsidR="0039031A" w:rsidRPr="001111BA" w:rsidRDefault="0039031A" w:rsidP="0039031A">
      <w:pPr>
        <w:jc w:val="both"/>
        <w:rPr>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39031A" w:rsidRPr="001111BA" w:rsidTr="00F21D14">
        <w:tc>
          <w:tcPr>
            <w:tcW w:w="9212" w:type="dxa"/>
            <w:shd w:val="clear" w:color="auto" w:fill="C2D69B"/>
          </w:tcPr>
          <w:p w:rsidR="0039031A" w:rsidRPr="001111BA" w:rsidRDefault="0039031A" w:rsidP="00C16B5D">
            <w:pPr>
              <w:pStyle w:val="Listaszerbekezds"/>
              <w:numPr>
                <w:ilvl w:val="1"/>
                <w:numId w:val="12"/>
              </w:numPr>
              <w:spacing w:after="0" w:line="240" w:lineRule="auto"/>
              <w:jc w:val="both"/>
              <w:rPr>
                <w:rFonts w:ascii="Times New Roman" w:hAnsi="Times New Roman"/>
                <w:b/>
                <w:sz w:val="24"/>
                <w:szCs w:val="24"/>
              </w:rPr>
            </w:pPr>
            <w:r w:rsidRPr="001111BA">
              <w:rPr>
                <w:rFonts w:ascii="Times New Roman" w:hAnsi="Times New Roman"/>
                <w:b/>
                <w:sz w:val="24"/>
                <w:szCs w:val="24"/>
              </w:rPr>
              <w:t>Az Öko-munkabizottságról</w:t>
            </w:r>
          </w:p>
        </w:tc>
      </w:tr>
    </w:tbl>
    <w:p w:rsidR="0039031A" w:rsidRPr="001111BA" w:rsidRDefault="0039031A" w:rsidP="0039031A">
      <w:pPr>
        <w:rPr>
          <w:i/>
          <w:highlight w:val="yellow"/>
        </w:rPr>
      </w:pPr>
    </w:p>
    <w:p w:rsidR="00141474" w:rsidRPr="001111BA" w:rsidRDefault="00141474" w:rsidP="00141474">
      <w:pPr>
        <w:jc w:val="both"/>
      </w:pPr>
      <w:r w:rsidRPr="001111BA">
        <w:t xml:space="preserve">2014-ben megalapításra került az Öko-munkabizottság, melynek egyik feladata az ökológiai gazdálkodásban alkalmazható egységes szerlista kialakítása. A Munkabizottság tevékenységére azért van szükség, mivel Magyarországon ezt megelőzően nem volt egységes ökológiai szerlista, amely egyértelműen meghatározta volna az ökológiai gazdálkodásban alkalmazható termékek körét. </w:t>
      </w:r>
    </w:p>
    <w:p w:rsidR="00141474" w:rsidRPr="001111BA" w:rsidRDefault="00141474" w:rsidP="00141474">
      <w:pPr>
        <w:jc w:val="both"/>
      </w:pPr>
    </w:p>
    <w:p w:rsidR="00141474" w:rsidRPr="001111BA" w:rsidRDefault="00141474" w:rsidP="00141474">
      <w:pPr>
        <w:jc w:val="both"/>
      </w:pPr>
      <w:r w:rsidRPr="001111BA">
        <w:t xml:space="preserve">Az Öko-munkabizottság tagjai: a Biokontroll Hungária Kft., a Hungária Öko Garancia Kft., a Kárpát-medencei Ökogazdálkodók Szövetsége, a Magyar Biokultúra Szövetség, az Ökológiai Mezőgazdasági Kutatóintézet és a NÉBIH Növény-, Talaj- és Agrárkörnyezet-védelmi Igazgatóság szakemberei. Koordinátor: NÉBIH. Az egységes szerlistát az Öko-munkabizottság 2015. október 1-én megtartott ülésén fogadták el és a NÉBIH honlapján érhető el: </w:t>
      </w:r>
    </w:p>
    <w:p w:rsidR="00141474" w:rsidRPr="001111BA" w:rsidRDefault="00664E31" w:rsidP="00141474">
      <w:pPr>
        <w:jc w:val="both"/>
      </w:pPr>
      <w:hyperlink r:id="rId44" w:history="1">
        <w:r w:rsidR="00141474" w:rsidRPr="001111BA">
          <w:rPr>
            <w:color w:val="0000FF"/>
            <w:u w:val="single"/>
          </w:rPr>
          <w:t>https://www.nebih.gov.hu/szakteruletek/szakteruletek/noveny_talajvedelmi_ig/kozerdeku_adatok/lejart_novved_szerek_jegyzeke/Oko_lista.html</w:t>
        </w:r>
      </w:hyperlink>
    </w:p>
    <w:p w:rsidR="00141474" w:rsidRPr="001111BA" w:rsidRDefault="00141474" w:rsidP="00141474">
      <w:pPr>
        <w:jc w:val="both"/>
      </w:pPr>
    </w:p>
    <w:p w:rsidR="00245A29" w:rsidRPr="001111BA" w:rsidRDefault="00141474" w:rsidP="00141474">
      <w:pPr>
        <w:jc w:val="both"/>
        <w:rPr>
          <w:highlight w:val="yellow"/>
        </w:rPr>
      </w:pPr>
      <w:r w:rsidRPr="001111BA">
        <w:lastRenderedPageBreak/>
        <w:t>Az ökológiai gazdálkodásban felhasználható termékek köre folyamatos felülvizsgálat és bővítés alatt áll. Új termék szerlistára történő felvételéhez a NÉBIH honlapjáról letölthető formanyomtatvány kitöltése és a NÉBIH NTAI Növényvédő szer és Termésnövelő anyag Engedélyezési Osztályára történő benyújtása, valamint az Öko-munkabizottság jóváhagyása szükséges.</w:t>
      </w:r>
    </w:p>
    <w:p w:rsidR="0039031A" w:rsidRPr="001111BA" w:rsidRDefault="0039031A" w:rsidP="00245A29">
      <w:pPr>
        <w:rPr>
          <w:highlight w:val="yellow"/>
        </w:rPr>
      </w:pPr>
    </w:p>
    <w:p w:rsidR="00B52EEB" w:rsidRPr="001111BA" w:rsidRDefault="00CF770F" w:rsidP="00B52EEB">
      <w:pPr>
        <w:jc w:val="both"/>
        <w:rPr>
          <w:i/>
        </w:rPr>
      </w:pPr>
      <w:r w:rsidRPr="001111BA">
        <w:rPr>
          <w:i/>
        </w:rPr>
        <w:t xml:space="preserve">Forrás: Ácsné dr. Szekeres Dóra </w:t>
      </w:r>
    </w:p>
    <w:p w:rsidR="00CF770F" w:rsidRDefault="00CF770F" w:rsidP="00B52EEB">
      <w:pPr>
        <w:jc w:val="both"/>
        <w:rPr>
          <w:color w:val="000000"/>
          <w:highlight w:val="yellow"/>
        </w:rPr>
      </w:pPr>
    </w:p>
    <w:p w:rsidR="00CB3418" w:rsidRPr="001111BA" w:rsidRDefault="00CB3418" w:rsidP="00B52EEB">
      <w:pPr>
        <w:jc w:val="both"/>
        <w:rPr>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B52EEB" w:rsidRPr="001111BA" w:rsidTr="00C42CF6">
        <w:tc>
          <w:tcPr>
            <w:tcW w:w="9212" w:type="dxa"/>
            <w:shd w:val="clear" w:color="auto" w:fill="C2D69B"/>
          </w:tcPr>
          <w:p w:rsidR="00B52EEB" w:rsidRPr="001111BA" w:rsidRDefault="00B52EEB" w:rsidP="00B52EEB">
            <w:pPr>
              <w:pStyle w:val="Listaszerbekezds"/>
              <w:numPr>
                <w:ilvl w:val="1"/>
                <w:numId w:val="12"/>
              </w:numPr>
              <w:spacing w:after="0" w:line="240" w:lineRule="auto"/>
              <w:jc w:val="both"/>
              <w:rPr>
                <w:rFonts w:ascii="Times New Roman" w:hAnsi="Times New Roman"/>
                <w:b/>
                <w:sz w:val="24"/>
                <w:szCs w:val="24"/>
              </w:rPr>
            </w:pPr>
            <w:r w:rsidRPr="001111BA">
              <w:rPr>
                <w:rFonts w:ascii="Times New Roman" w:hAnsi="Times New Roman"/>
                <w:b/>
                <w:sz w:val="24"/>
                <w:szCs w:val="24"/>
              </w:rPr>
              <w:t>Módszertani gyűjtemény</w:t>
            </w:r>
          </w:p>
        </w:tc>
      </w:tr>
    </w:tbl>
    <w:p w:rsidR="00B52EEB" w:rsidRPr="001111BA" w:rsidRDefault="00B52EEB" w:rsidP="00B52EEB">
      <w:pPr>
        <w:rPr>
          <w:i/>
          <w:highlight w:val="yellow"/>
        </w:rPr>
      </w:pPr>
    </w:p>
    <w:p w:rsidR="00B52EEB" w:rsidRPr="001111BA" w:rsidRDefault="00B52EEB" w:rsidP="00B52EEB">
      <w:pPr>
        <w:jc w:val="both"/>
      </w:pPr>
      <w:r w:rsidRPr="001111BA">
        <w:t>A Növényvédelmi Bizottság 2015. június 15-i ülésén egyhangú szavazással döntött a növényvédő szerek engedélyezésével kapcsolatos kötelező előírásokat, valamint az ajánlott szakmai irányelveket tartalmazó Növényvédelmi Módszertani Gyűjtemény alábbi négy fejezetének elfogadásáról.</w:t>
      </w:r>
    </w:p>
    <w:p w:rsidR="00B52EEB" w:rsidRPr="001111BA" w:rsidRDefault="00B52EEB" w:rsidP="00B52EEB">
      <w:pPr>
        <w:jc w:val="both"/>
      </w:pPr>
    </w:p>
    <w:p w:rsidR="00B52EEB" w:rsidRPr="001111BA" w:rsidRDefault="00664E31" w:rsidP="00B52EEB">
      <w:pPr>
        <w:pStyle w:val="Listaszerbekezds"/>
        <w:numPr>
          <w:ilvl w:val="0"/>
          <w:numId w:val="36"/>
        </w:numPr>
        <w:jc w:val="both"/>
        <w:rPr>
          <w:rFonts w:ascii="Times New Roman" w:hAnsi="Times New Roman"/>
        </w:rPr>
      </w:pPr>
      <w:hyperlink r:id="rId45" w:tgtFrame="_blank" w:history="1">
        <w:r w:rsidR="00B52EEB" w:rsidRPr="001111BA">
          <w:rPr>
            <w:rFonts w:ascii="Times New Roman" w:hAnsi="Times New Roman"/>
          </w:rPr>
          <w:t>Útmutató a biológiai hatásvizsgálatok tervezéséhez és végzéséhez</w:t>
        </w:r>
      </w:hyperlink>
    </w:p>
    <w:p w:rsidR="00B52EEB" w:rsidRPr="001111BA" w:rsidRDefault="00664E31" w:rsidP="00B52EEB">
      <w:pPr>
        <w:pStyle w:val="Listaszerbekezds"/>
        <w:numPr>
          <w:ilvl w:val="0"/>
          <w:numId w:val="36"/>
        </w:numPr>
        <w:jc w:val="both"/>
        <w:rPr>
          <w:rFonts w:ascii="Times New Roman" w:hAnsi="Times New Roman"/>
        </w:rPr>
      </w:pPr>
      <w:hyperlink r:id="rId46" w:tgtFrame="_blank" w:history="1">
        <w:r w:rsidR="00B52EEB" w:rsidRPr="001111BA">
          <w:rPr>
            <w:rFonts w:ascii="Times New Roman" w:hAnsi="Times New Roman"/>
          </w:rPr>
          <w:t>Útmutató a vizsgálóhelyek hatósági (GEP) elismeréséhez</w:t>
        </w:r>
      </w:hyperlink>
    </w:p>
    <w:p w:rsidR="00B52EEB" w:rsidRPr="001111BA" w:rsidRDefault="00664E31" w:rsidP="00B52EEB">
      <w:pPr>
        <w:pStyle w:val="Listaszerbekezds"/>
        <w:numPr>
          <w:ilvl w:val="0"/>
          <w:numId w:val="36"/>
        </w:numPr>
        <w:jc w:val="both"/>
        <w:rPr>
          <w:rFonts w:ascii="Times New Roman" w:hAnsi="Times New Roman"/>
        </w:rPr>
      </w:pPr>
      <w:hyperlink r:id="rId47" w:tgtFrame="_blank" w:history="1">
        <w:r w:rsidR="00B52EEB" w:rsidRPr="001111BA">
          <w:rPr>
            <w:rFonts w:ascii="Times New Roman" w:hAnsi="Times New Roman"/>
          </w:rPr>
          <w:t>Növényvédőszer-felhasználás környezeti értékelése</w:t>
        </w:r>
      </w:hyperlink>
    </w:p>
    <w:p w:rsidR="00B52EEB" w:rsidRPr="001111BA" w:rsidRDefault="00664E31" w:rsidP="00B52EEB">
      <w:pPr>
        <w:pStyle w:val="Listaszerbekezds"/>
        <w:numPr>
          <w:ilvl w:val="0"/>
          <w:numId w:val="36"/>
        </w:numPr>
        <w:jc w:val="both"/>
        <w:rPr>
          <w:rFonts w:ascii="Times New Roman" w:hAnsi="Times New Roman"/>
        </w:rPr>
      </w:pPr>
      <w:hyperlink r:id="rId48" w:tgtFrame="_blank" w:history="1">
        <w:r w:rsidR="00B52EEB" w:rsidRPr="001111BA">
          <w:rPr>
            <w:rFonts w:ascii="Times New Roman" w:hAnsi="Times New Roman"/>
          </w:rPr>
          <w:t>Növényvédő szer felhasználás kockázatbecslése a nem-cél szervezetekre</w:t>
        </w:r>
      </w:hyperlink>
    </w:p>
    <w:p w:rsidR="0090512E" w:rsidRPr="001111BA" w:rsidRDefault="0090512E" w:rsidP="00B52EEB">
      <w:pPr>
        <w:jc w:val="both"/>
      </w:pPr>
      <w:r w:rsidRPr="001111BA">
        <w:t>A biológiai hatásvizsgálatokról szóló fejezet tartalmazza a jelenleg nálunk érvényes szabályokat a hatékonysági vizsgálatok számáról, ami egyelőre EU szinten nincs harmonizálva.  Mivel az EPPO a közeljövőben szándékozik módosítani az ezzel kapcsolatos útmutatót, ezen a területen várható változás még ebben az évben, de az alapelv – az EPPO zónánként végzett vizsgálatok szükségessége -  valószínűleg nem változik.</w:t>
      </w:r>
    </w:p>
    <w:p w:rsidR="0090512E" w:rsidRPr="001111BA" w:rsidRDefault="0090512E" w:rsidP="00B52EEB">
      <w:pPr>
        <w:jc w:val="both"/>
      </w:pPr>
    </w:p>
    <w:p w:rsidR="00B52EEB" w:rsidRPr="001111BA" w:rsidRDefault="0090512E" w:rsidP="00B52EEB">
      <w:pPr>
        <w:jc w:val="both"/>
      </w:pPr>
      <w:r w:rsidRPr="001111BA">
        <w:t>A</w:t>
      </w:r>
      <w:r w:rsidR="00B52EEB" w:rsidRPr="001111BA">
        <w:t>z elfogadott fejezeteket az alábbi honlapo</w:t>
      </w:r>
      <w:r w:rsidRPr="001111BA">
        <w:t>n lehet megtalálni és letölteni:</w:t>
      </w:r>
    </w:p>
    <w:p w:rsidR="00B52EEB" w:rsidRPr="001111BA" w:rsidRDefault="00B52EEB" w:rsidP="00B52EEB">
      <w:pPr>
        <w:jc w:val="both"/>
      </w:pPr>
    </w:p>
    <w:p w:rsidR="00B52EEB" w:rsidRPr="001111BA" w:rsidRDefault="00664E31" w:rsidP="00B52EEB">
      <w:hyperlink r:id="rId49" w:history="1">
        <w:r w:rsidR="00B52EEB" w:rsidRPr="001111BA">
          <w:rPr>
            <w:rStyle w:val="Hiperhivatkozs"/>
          </w:rPr>
          <w:t>http://elelmiszerlanc.kormany.hu/?_preview=613a32f3-67e6-c2c9-829e-00004a4f830f</w:t>
        </w:r>
      </w:hyperlink>
    </w:p>
    <w:p w:rsidR="00B52EEB" w:rsidRPr="001111BA" w:rsidRDefault="00B52EEB" w:rsidP="00245A29">
      <w:pPr>
        <w:rPr>
          <w:highlight w:val="yellow"/>
        </w:rPr>
      </w:pPr>
    </w:p>
    <w:p w:rsidR="00B52EEB" w:rsidRDefault="00AB274E" w:rsidP="00245A29">
      <w:r w:rsidRPr="00B2320F">
        <w:t>A  Módszertani gyűjtemény magyar nyelven tölthető le, de a kísérletek számáról szóló táblázatot kérésre angolul bárkinek elküldjük.</w:t>
      </w:r>
    </w:p>
    <w:p w:rsidR="00B2320F" w:rsidRPr="00B2320F" w:rsidRDefault="00B2320F" w:rsidP="00245A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141474" w:rsidRPr="001111BA" w:rsidTr="00F21D14">
        <w:tc>
          <w:tcPr>
            <w:tcW w:w="9212" w:type="dxa"/>
            <w:shd w:val="clear" w:color="auto" w:fill="C2D69B"/>
          </w:tcPr>
          <w:p w:rsidR="00141474" w:rsidRPr="001111BA" w:rsidRDefault="008F0761" w:rsidP="00B52EEB">
            <w:pPr>
              <w:pStyle w:val="Listaszerbekezds"/>
              <w:numPr>
                <w:ilvl w:val="1"/>
                <w:numId w:val="12"/>
              </w:numPr>
              <w:spacing w:after="0" w:line="240" w:lineRule="auto"/>
              <w:jc w:val="both"/>
              <w:rPr>
                <w:rFonts w:ascii="Times New Roman" w:hAnsi="Times New Roman"/>
                <w:b/>
                <w:sz w:val="24"/>
                <w:szCs w:val="24"/>
              </w:rPr>
            </w:pPr>
            <w:r w:rsidRPr="001111BA">
              <w:rPr>
                <w:rFonts w:ascii="Times New Roman" w:hAnsi="Times New Roman"/>
                <w:b/>
                <w:sz w:val="24"/>
                <w:szCs w:val="24"/>
              </w:rPr>
              <w:t>Elérhetőség, ügyfélfogadás</w:t>
            </w:r>
            <w:r w:rsidR="00A275E6" w:rsidRPr="001111BA">
              <w:rPr>
                <w:rFonts w:ascii="Times New Roman" w:hAnsi="Times New Roman"/>
                <w:b/>
                <w:sz w:val="24"/>
                <w:szCs w:val="24"/>
              </w:rPr>
              <w:t>, kérelmek</w:t>
            </w:r>
          </w:p>
        </w:tc>
      </w:tr>
    </w:tbl>
    <w:p w:rsidR="00141474" w:rsidRPr="001111BA" w:rsidRDefault="00141474" w:rsidP="00141474">
      <w:pPr>
        <w:rPr>
          <w:i/>
          <w:highlight w:val="yellow"/>
        </w:rPr>
      </w:pPr>
    </w:p>
    <w:p w:rsidR="00141474" w:rsidRPr="001111BA" w:rsidRDefault="00141474" w:rsidP="00141474">
      <w:r w:rsidRPr="001111BA">
        <w:t xml:space="preserve">A fax </w:t>
      </w:r>
      <w:r w:rsidR="00A16F9D" w:rsidRPr="001111BA">
        <w:t xml:space="preserve">NÉBIH-nél való </w:t>
      </w:r>
      <w:r w:rsidRPr="001111BA">
        <w:t>használatának megszűnése miatt  nem tudunk faxon fogadni kérelmeket</w:t>
      </w:r>
      <w:r w:rsidR="00D76A3B" w:rsidRPr="001111BA">
        <w:t xml:space="preserve"> és címkéket</w:t>
      </w:r>
      <w:r w:rsidRPr="001111BA">
        <w:t>.</w:t>
      </w:r>
    </w:p>
    <w:p w:rsidR="00141474" w:rsidRPr="001111BA" w:rsidRDefault="00141474" w:rsidP="00141474">
      <w:r w:rsidRPr="001111BA">
        <w:t xml:space="preserve">Ennek orvoslására létrehoztuk </w:t>
      </w:r>
      <w:r w:rsidR="003732D6" w:rsidRPr="001111BA">
        <w:t xml:space="preserve">az alábbi </w:t>
      </w:r>
      <w:r w:rsidRPr="001111BA">
        <w:t>két e-mail címet, ahová a kérelmeket, kérdéseket</w:t>
      </w:r>
      <w:r w:rsidR="00D76A3B" w:rsidRPr="001111BA">
        <w:t xml:space="preserve"> és címkéket </w:t>
      </w:r>
      <w:r w:rsidRPr="001111BA">
        <w:t xml:space="preserve"> el lehet küldeni. Kérjük, a jövőben </w:t>
      </w:r>
      <w:r w:rsidR="003732D6" w:rsidRPr="001111BA">
        <w:t>ezt használják:</w:t>
      </w:r>
    </w:p>
    <w:p w:rsidR="00141474" w:rsidRPr="001111BA" w:rsidRDefault="00141474" w:rsidP="00141474">
      <w:pPr>
        <w:pStyle w:val="Listaszerbekezds"/>
        <w:numPr>
          <w:ilvl w:val="0"/>
          <w:numId w:val="21"/>
        </w:numPr>
      </w:pPr>
      <w:r w:rsidRPr="001111BA">
        <w:rPr>
          <w:rFonts w:ascii="Times New Roman" w:hAnsi="Times New Roman"/>
          <w:sz w:val="24"/>
          <w:szCs w:val="24"/>
        </w:rPr>
        <w:t>növényvédő szerek esetében</w:t>
      </w:r>
      <w:r w:rsidRPr="001111BA">
        <w:t xml:space="preserve">: </w:t>
      </w:r>
      <w:hyperlink r:id="rId50" w:history="1">
        <w:r w:rsidRPr="001111BA">
          <w:rPr>
            <w:rStyle w:val="Hiperhivatkozs"/>
            <w:rFonts w:ascii="Times New Roman" w:hAnsi="Times New Roman"/>
            <w:sz w:val="24"/>
            <w:szCs w:val="24"/>
          </w:rPr>
          <w:t>ppp.registration@nebih.gov.hu</w:t>
        </w:r>
      </w:hyperlink>
    </w:p>
    <w:p w:rsidR="00141474" w:rsidRPr="001111BA" w:rsidRDefault="00141474" w:rsidP="00141474">
      <w:pPr>
        <w:pStyle w:val="Listaszerbekezds"/>
        <w:numPr>
          <w:ilvl w:val="0"/>
          <w:numId w:val="21"/>
        </w:numPr>
      </w:pPr>
      <w:r w:rsidRPr="001111BA">
        <w:rPr>
          <w:rFonts w:ascii="Times New Roman" w:hAnsi="Times New Roman"/>
          <w:sz w:val="24"/>
          <w:szCs w:val="24"/>
        </w:rPr>
        <w:t>termésnövelő anyagok esetében</w:t>
      </w:r>
      <w:r w:rsidRPr="001111BA">
        <w:t xml:space="preserve">: </w:t>
      </w:r>
      <w:hyperlink r:id="rId51" w:history="1">
        <w:r w:rsidRPr="001111BA">
          <w:rPr>
            <w:rStyle w:val="Hiperhivatkozs"/>
            <w:rFonts w:ascii="Times New Roman" w:hAnsi="Times New Roman"/>
            <w:sz w:val="24"/>
            <w:szCs w:val="24"/>
          </w:rPr>
          <w:t>tea@nebih.gov.hu</w:t>
        </w:r>
      </w:hyperlink>
    </w:p>
    <w:p w:rsidR="008F0761" w:rsidRPr="001111BA" w:rsidRDefault="008F0761" w:rsidP="008F0761">
      <w:r w:rsidRPr="001111BA">
        <w:t xml:space="preserve">Azokban az esetekben, amikor egyértelmű, hogy ki az illetékes a kérdés megválaszolásában, természetesen közvetlenül írhatnak a kollégáknak. </w:t>
      </w:r>
    </w:p>
    <w:p w:rsidR="008174FE" w:rsidRPr="001111BA" w:rsidRDefault="008174FE" w:rsidP="008174FE">
      <w:r w:rsidRPr="001111BA">
        <w:t xml:space="preserve">Kérjük ügyfeleinket, hogy </w:t>
      </w:r>
      <w:r w:rsidR="00CB3418">
        <w:t xml:space="preserve">a </w:t>
      </w:r>
      <w:r w:rsidRPr="001111BA">
        <w:t xml:space="preserve">kérelmek beadása vagy a megszületett döntések átvétele ügyében </w:t>
      </w:r>
      <w:r w:rsidRPr="001111BA">
        <w:rPr>
          <w:b/>
        </w:rPr>
        <w:t>hétköznaponként 9-15 óra között</w:t>
      </w:r>
      <w:r w:rsidRPr="001111BA">
        <w:t xml:space="preserve"> keressék az engedélyezési titkárságot.</w:t>
      </w:r>
    </w:p>
    <w:p w:rsidR="008174FE" w:rsidRPr="001111BA" w:rsidRDefault="008174FE" w:rsidP="008174FE">
      <w:r w:rsidRPr="001111BA">
        <w:t xml:space="preserve">Szakmai megbeszélés időpontját Takácsné Kiss Ritával, az osztályvezetőkel, vagy az érintett kollégával kell telefonon előzetesen egyeztetni. </w:t>
      </w:r>
    </w:p>
    <w:p w:rsidR="008174FE" w:rsidRPr="001111BA" w:rsidRDefault="008174FE" w:rsidP="008174FE"/>
    <w:p w:rsidR="001E33A5" w:rsidRPr="001111BA" w:rsidRDefault="001E33A5" w:rsidP="001E33A5">
      <w:pPr>
        <w:jc w:val="both"/>
      </w:pPr>
      <w:r w:rsidRPr="001111BA">
        <w:t xml:space="preserve">A közigazgatás területén 2015-ben történt kormányzati intézkedéseknek megfelelően az ügyiratkezelés jobb átláthatósága és nyomon követése céljából, a hatóságunkhoz postai úton benyújtott kérelmek már nem közvetlenül, hanem a Kormányzati Érkeztetési Rendszer (KÉR) </w:t>
      </w:r>
      <w:r w:rsidRPr="001111BA">
        <w:lastRenderedPageBreak/>
        <w:t>elektro</w:t>
      </w:r>
      <w:r w:rsidR="00657B2F">
        <w:t>nikus</w:t>
      </w:r>
      <w:r w:rsidRPr="001111BA">
        <w:t xml:space="preserve"> iktatási felületén jutnak el a NÉBIH NTAI-hoz. Az elmúlt időszakban azonban azt tapasztaltuk, hogy a KÉR-en keresztül az ügyfelek kérelme az </w:t>
      </w:r>
      <w:r w:rsidR="00657B2F" w:rsidRPr="001111BA">
        <w:t>elektro</w:t>
      </w:r>
      <w:r w:rsidR="00657B2F">
        <w:t>nikus</w:t>
      </w:r>
      <w:r w:rsidR="00657B2F" w:rsidRPr="001111BA">
        <w:t xml:space="preserve"> </w:t>
      </w:r>
      <w:r w:rsidRPr="001111BA">
        <w:t xml:space="preserve">iktatási és érkeztetési rendszerünkben (FIKSZ) sok esetben több hetes késéssel jelent meg. </w:t>
      </w:r>
    </w:p>
    <w:p w:rsidR="001E33A5" w:rsidRPr="001111BA" w:rsidRDefault="001E33A5" w:rsidP="001E33A5">
      <w:pPr>
        <w:jc w:val="both"/>
      </w:pPr>
      <w:r w:rsidRPr="001111BA">
        <w:t>Emiatt felhívjuk a tisztelt engedélyesek és az egyéni kérelmezők figyelmét, hogy a gyorsabb ügyintézés érdekében engedélykérelmüket hatóságunkhoz vagy személyesen, vagy a hivatalos intézeti postai cím helyett az alábbi postafiók cím</w:t>
      </w:r>
      <w:r w:rsidR="00657B2F">
        <w:t>en nyújthatják be</w:t>
      </w:r>
      <w:r w:rsidRPr="001111BA">
        <w:t>:</w:t>
      </w:r>
    </w:p>
    <w:p w:rsidR="001E33A5" w:rsidRPr="001111BA" w:rsidRDefault="001E33A5" w:rsidP="001E33A5">
      <w:pPr>
        <w:jc w:val="both"/>
      </w:pPr>
    </w:p>
    <w:p w:rsidR="001E33A5" w:rsidRPr="001111BA" w:rsidRDefault="001E33A5" w:rsidP="001E33A5">
      <w:pPr>
        <w:jc w:val="both"/>
        <w:rPr>
          <w:b/>
        </w:rPr>
      </w:pPr>
      <w:r w:rsidRPr="001111BA">
        <w:rPr>
          <w:b/>
        </w:rPr>
        <w:t>NÉBIH Növény- Talaj- és Agrárkörnyezet-védelmi Igazgatóság, 1537 Budapest, Pf. 407.</w:t>
      </w:r>
    </w:p>
    <w:p w:rsidR="001E33A5" w:rsidRPr="001111BA" w:rsidRDefault="001E33A5" w:rsidP="001E33A5">
      <w:pPr>
        <w:jc w:val="both"/>
      </w:pPr>
    </w:p>
    <w:p w:rsidR="001E33A5" w:rsidRPr="001111BA" w:rsidRDefault="00A275E6" w:rsidP="008174FE">
      <w:r w:rsidRPr="001111BA">
        <w:t xml:space="preserve">Kérjük a kérelmezőket, hogy a növényvédő </w:t>
      </w:r>
      <w:r w:rsidR="006E000D" w:rsidRPr="001111BA">
        <w:t xml:space="preserve">és egyéb </w:t>
      </w:r>
      <w:r w:rsidRPr="001111BA">
        <w:t xml:space="preserve">szerekkel kapcsolatos </w:t>
      </w:r>
      <w:r w:rsidR="006E000D" w:rsidRPr="001111BA">
        <w:t xml:space="preserve">kérelmek kísérőlevelein tüntessék fel a szertípust (gyomirtó szer, gombaölő szer, rovarölő szer, adjuváns stb.), mivel ez megkönnyíti, hogy az adott ügy </w:t>
      </w:r>
      <w:r w:rsidR="00D716BD" w:rsidRPr="001111BA">
        <w:t xml:space="preserve">mielőbb </w:t>
      </w:r>
      <w:r w:rsidR="006E000D" w:rsidRPr="001111BA">
        <w:t xml:space="preserve">a megfelelő koordinátorhoz kerüljön. </w:t>
      </w:r>
    </w:p>
    <w:p w:rsidR="00A275E6" w:rsidRPr="001111BA" w:rsidRDefault="00A275E6" w:rsidP="008174FE"/>
    <w:p w:rsidR="001E33A5" w:rsidRPr="001111BA" w:rsidRDefault="001E33A5" w:rsidP="008174FE"/>
    <w:p w:rsidR="001E33A5" w:rsidRPr="001111BA" w:rsidRDefault="001E33A5" w:rsidP="008174FE"/>
    <w:p w:rsidR="001E33A5" w:rsidRPr="001111BA" w:rsidRDefault="001E33A5" w:rsidP="008174FE"/>
    <w:p w:rsidR="00C16B5D" w:rsidRPr="001111BA" w:rsidRDefault="00C16B5D">
      <w:r w:rsidRPr="001111BA">
        <w:br w:type="page"/>
      </w:r>
    </w:p>
    <w:p w:rsidR="00C16B5D" w:rsidRPr="001111BA" w:rsidRDefault="00C16B5D" w:rsidP="00C16B5D">
      <w:pPr>
        <w:rPr>
          <w: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tblPr>
      <w:tblGrid>
        <w:gridCol w:w="9212"/>
      </w:tblGrid>
      <w:tr w:rsidR="00C16B5D" w:rsidRPr="001111BA" w:rsidTr="00C42CF6">
        <w:tc>
          <w:tcPr>
            <w:tcW w:w="9212" w:type="dxa"/>
            <w:shd w:val="clear" w:color="auto" w:fill="C2D69B"/>
          </w:tcPr>
          <w:p w:rsidR="00C16B5D" w:rsidRPr="001111BA" w:rsidRDefault="00C16B5D" w:rsidP="00F37DEE">
            <w:pPr>
              <w:pStyle w:val="Listaszerbekezds"/>
              <w:numPr>
                <w:ilvl w:val="1"/>
                <w:numId w:val="12"/>
              </w:numPr>
              <w:spacing w:after="0" w:line="240" w:lineRule="auto"/>
              <w:jc w:val="both"/>
              <w:rPr>
                <w:rFonts w:ascii="Times New Roman" w:hAnsi="Times New Roman"/>
                <w:b/>
                <w:sz w:val="24"/>
                <w:szCs w:val="24"/>
              </w:rPr>
            </w:pPr>
            <w:r w:rsidRPr="001111BA">
              <w:rPr>
                <w:rFonts w:ascii="Times New Roman" w:hAnsi="Times New Roman"/>
                <w:b/>
                <w:sz w:val="24"/>
                <w:szCs w:val="24"/>
              </w:rPr>
              <w:t>Tájékoztató kötelező adatszolgáltatásról a 2015. évi növényvédő szer forgalommal kapcsolatban</w:t>
            </w:r>
          </w:p>
        </w:tc>
      </w:tr>
    </w:tbl>
    <w:p w:rsidR="00C16B5D" w:rsidRPr="003D4552" w:rsidRDefault="00C16B5D" w:rsidP="00C16B5D">
      <w:pPr>
        <w:jc w:val="center"/>
        <w:rPr>
          <w:b/>
          <w:sz w:val="16"/>
          <w:szCs w:val="28"/>
        </w:rPr>
      </w:pPr>
    </w:p>
    <w:p w:rsidR="00C16B5D" w:rsidRDefault="00C16B5D" w:rsidP="00C16B5D">
      <w:pPr>
        <w:jc w:val="center"/>
        <w:rPr>
          <w:b/>
          <w:sz w:val="28"/>
          <w:szCs w:val="28"/>
        </w:rPr>
      </w:pPr>
      <w:r w:rsidRPr="001111BA">
        <w:rPr>
          <w:b/>
          <w:sz w:val="28"/>
          <w:szCs w:val="28"/>
        </w:rPr>
        <w:t>Tisztelt Engedélyes!</w:t>
      </w:r>
    </w:p>
    <w:p w:rsidR="003D4552" w:rsidRPr="003D4552" w:rsidRDefault="003D4552" w:rsidP="00C16B5D">
      <w:pPr>
        <w:jc w:val="center"/>
        <w:rPr>
          <w:b/>
          <w:sz w:val="16"/>
          <w:szCs w:val="28"/>
        </w:rPr>
      </w:pPr>
    </w:p>
    <w:p w:rsidR="00C16B5D" w:rsidRPr="001111BA" w:rsidRDefault="00C16B5D" w:rsidP="00C16B5D">
      <w:pPr>
        <w:jc w:val="both"/>
      </w:pPr>
      <w:r w:rsidRPr="001111BA">
        <w:t xml:space="preserve">Felhívjuk szíves figyelmét, hogy az </w:t>
      </w:r>
      <w:r w:rsidRPr="001111BA">
        <w:rPr>
          <w:i/>
        </w:rPr>
        <w:t>1107/2009/EK rendelet 67.</w:t>
      </w:r>
      <w:r w:rsidRPr="001111BA">
        <w:t xml:space="preserve"> </w:t>
      </w:r>
      <w:r w:rsidRPr="001111BA">
        <w:rPr>
          <w:i/>
        </w:rPr>
        <w:t>cikke</w:t>
      </w:r>
      <w:r w:rsidRPr="001111BA">
        <w:t xml:space="preserve"> értelmében az engedélyek jogosultjainak meg kell adniuk a hatáskörrel rendelkező hatóságok számára a növényvédő szerek eladási mennyiségeire vonatkozó valamennyi adatot a növényvédő szerekre vonatkozó statisztikáról szóló közösségi jogszabályokkal összhangban. Az alábbiakban előírt adatszolgáltatás nem érinti a KSH, illetve az AKI által bekért forgalmazási adatokat.</w:t>
      </w:r>
    </w:p>
    <w:p w:rsidR="00C16B5D" w:rsidRPr="001111BA" w:rsidRDefault="00C16B5D" w:rsidP="00C16B5D">
      <w:pPr>
        <w:jc w:val="both"/>
      </w:pPr>
      <w:r w:rsidRPr="001111BA">
        <w:t xml:space="preserve">Az élelmiszerláncról és hatósági felügyeletéről szóló </w:t>
      </w:r>
      <w:r w:rsidRPr="001111BA">
        <w:rPr>
          <w:i/>
        </w:rPr>
        <w:t>2008. évi XLVI. törvény</w:t>
      </w:r>
      <w:r w:rsidRPr="001111BA">
        <w:t xml:space="preserve"> (a továbbiakban: </w:t>
      </w:r>
      <w:r w:rsidRPr="001111BA">
        <w:rPr>
          <w:i/>
        </w:rPr>
        <w:t>Éltv.</w:t>
      </w:r>
      <w:r w:rsidRPr="001111BA">
        <w:t xml:space="preserve">) </w:t>
      </w:r>
      <w:r w:rsidRPr="001111BA">
        <w:rPr>
          <w:i/>
        </w:rPr>
        <w:t>17. § (5) bekezdése</w:t>
      </w:r>
      <w:r w:rsidRPr="001111BA">
        <w:t xml:space="preserve"> alapján a növényvédő szer felhasználására és forgalomba hozatalára vonatkozó engedély jogosultja (a továbbiakban: Engedélyes) </w:t>
      </w:r>
      <w:r w:rsidRPr="001111BA">
        <w:rPr>
          <w:b/>
        </w:rPr>
        <w:t>évenként március 1-jéig</w:t>
      </w:r>
      <w:r w:rsidRPr="001111BA">
        <w:t xml:space="preserve"> az előző naptári évre vonatkozóan magyarországi növényvédőszer-forgalmáról jelentést köteles készíteni az élelmiszerlánc-felügyeleti szerv részére. A jelentésnek tartalmaznia kell a növényvédő szer tételes megnevezését és mennyiségét, a felhasznált csomagoló eszköz mennyiségét és fajtáját. </w:t>
      </w:r>
      <w:r w:rsidRPr="001111BA">
        <w:rPr>
          <w:b/>
        </w:rPr>
        <w:t>Az Engedélyes az összes érvényes engedéllyel rendelkező növényvédő szerét köteles feltüntetni a mellékelt táblázatban.</w:t>
      </w:r>
      <w:r w:rsidRPr="001111BA">
        <w:t xml:space="preserve"> </w:t>
      </w:r>
      <w:r w:rsidRPr="001111BA">
        <w:rPr>
          <w:b/>
        </w:rPr>
        <w:t>Amennyiben nem forgalmazott 2015. évben egy adott szerből</w:t>
      </w:r>
      <w:r w:rsidRPr="001111BA">
        <w:t>, kérjük a mennyiség rovatban a „0” értéket feltüntetni.</w:t>
      </w:r>
    </w:p>
    <w:p w:rsidR="00C16B5D" w:rsidRPr="001111BA" w:rsidRDefault="00C16B5D" w:rsidP="00C16B5D">
      <w:pPr>
        <w:jc w:val="both"/>
      </w:pPr>
      <w:r w:rsidRPr="001111BA">
        <w:rPr>
          <w:i/>
        </w:rPr>
        <w:t xml:space="preserve">Kérjük az Engedélyest, hogy az esetleges viszonteladói tevékenységéből származó forgalmáról ne küldjön adatokat. Kizárólag azon tételek forgalmi adatait kérjük, melyeket az Engedélyes illetve megbízottja </w:t>
      </w:r>
      <w:r w:rsidRPr="001111BA">
        <w:rPr>
          <w:b/>
          <w:i/>
        </w:rPr>
        <w:t>első hazai értékesítőként forgalmazott 2015. évben</w:t>
      </w:r>
      <w:r w:rsidRPr="001111BA">
        <w:rPr>
          <w:i/>
        </w:rPr>
        <w:t>.</w:t>
      </w:r>
      <w:r w:rsidRPr="001111BA">
        <w:t xml:space="preserve"> </w:t>
      </w:r>
    </w:p>
    <w:p w:rsidR="00C16B5D" w:rsidRPr="001111BA" w:rsidRDefault="00C16B5D" w:rsidP="00C16B5D">
      <w:pPr>
        <w:jc w:val="both"/>
        <w:rPr>
          <w:i/>
        </w:rPr>
      </w:pPr>
      <w:r w:rsidRPr="001111BA">
        <w:rPr>
          <w:i/>
        </w:rPr>
        <w:t xml:space="preserve">Amennyiben az Engedélyes </w:t>
      </w:r>
      <w:r w:rsidRPr="001111BA">
        <w:rPr>
          <w:b/>
          <w:i/>
        </w:rPr>
        <w:t>gyűjtőcsomag</w:t>
      </w:r>
      <w:r w:rsidRPr="001111BA">
        <w:rPr>
          <w:i/>
        </w:rPr>
        <w:t xml:space="preserve"> igazolással rendelkezik, a gyűjtőcsomagban lévő szerekről szerenkénti bontásban kérjük az adatokat. Azokról a szerekről, amelyeket viszonteladóként értékesít a gyűjtőcsomagban, ne adjon be adatot.  Minden szerről a saját engedélyese köteles adatokat szolgáltatni.</w:t>
      </w:r>
    </w:p>
    <w:p w:rsidR="00C16B5D" w:rsidRPr="001111BA" w:rsidRDefault="00C16B5D" w:rsidP="00C16B5D">
      <w:pPr>
        <w:jc w:val="both"/>
      </w:pPr>
      <w:r w:rsidRPr="001111BA">
        <w:rPr>
          <w:i/>
        </w:rPr>
        <w:t xml:space="preserve"> </w:t>
      </w:r>
      <w:r w:rsidRPr="001111BA">
        <w:t xml:space="preserve">A fentiek alapján a melléklet szerinti adatlapon a </w:t>
      </w:r>
      <w:r w:rsidRPr="001111BA">
        <w:rPr>
          <w:b/>
        </w:rPr>
        <w:t xml:space="preserve">Nemzeti Élelmiszerlánc-biztonsági Hivatal </w:t>
      </w:r>
      <w:r w:rsidRPr="001111BA">
        <w:t xml:space="preserve">Növény-, Talaj- és Agrárkörnyezet-védelmi Igazgatóságának címére (1118 Budapest, Budaörsi út 141-145.) és a </w:t>
      </w:r>
      <w:hyperlink r:id="rId52" w:history="1">
        <w:r w:rsidRPr="001111BA">
          <w:rPr>
            <w:rStyle w:val="Hiperhivatkozs"/>
          </w:rPr>
          <w:t>bleichere@nebih.gov.hu</w:t>
        </w:r>
      </w:hyperlink>
      <w:r w:rsidRPr="001111BA">
        <w:t xml:space="preserve"> e-mail címre </w:t>
      </w:r>
      <w:r w:rsidRPr="001111BA">
        <w:rPr>
          <w:b/>
        </w:rPr>
        <w:t>2016. március 1-jéig</w:t>
      </w:r>
      <w:r w:rsidRPr="001111BA">
        <w:t xml:space="preserve"> kell az adatokat beküldeni. Az adatok Word vagy Excel file-ben is kitölthetők. A nyomtatvány a következő helyről letölthető: </w:t>
      </w:r>
    </w:p>
    <w:p w:rsidR="00C16B5D" w:rsidRPr="001111BA" w:rsidRDefault="00C16B5D" w:rsidP="00C16B5D">
      <w:pPr>
        <w:jc w:val="both"/>
      </w:pPr>
    </w:p>
    <w:p w:rsidR="00C16B5D" w:rsidRPr="001111BA" w:rsidRDefault="00664E31" w:rsidP="00C16B5D">
      <w:pPr>
        <w:jc w:val="both"/>
      </w:pPr>
      <w:hyperlink r:id="rId53" w:history="1">
        <w:r w:rsidR="00C16B5D" w:rsidRPr="001111BA">
          <w:rPr>
            <w:rStyle w:val="Hiperhivatkozs"/>
          </w:rPr>
          <w:t>www.nebih.gov.hu/szakteruletek/szakteruletek/noveny_talajvedelmi_ig/kozerdeku_adatok/szerforgalom</w:t>
        </w:r>
      </w:hyperlink>
    </w:p>
    <w:p w:rsidR="00C16B5D" w:rsidRPr="001111BA" w:rsidRDefault="00C16B5D" w:rsidP="00C16B5D">
      <w:pPr>
        <w:jc w:val="both"/>
      </w:pPr>
    </w:p>
    <w:p w:rsidR="00C16B5D" w:rsidRPr="001111BA" w:rsidRDefault="00C16B5D" w:rsidP="00C16B5D">
      <w:pPr>
        <w:jc w:val="both"/>
      </w:pPr>
      <w:r w:rsidRPr="001111BA">
        <w:t xml:space="preserve">A közigazgatási eljárás és szolgáltatás általános szabályairól szóló </w:t>
      </w:r>
      <w:r w:rsidRPr="001111BA">
        <w:rPr>
          <w:i/>
        </w:rPr>
        <w:t>2004. évi CXL. törvény 94. § (1)</w:t>
      </w:r>
      <w:r w:rsidRPr="001111BA">
        <w:t xml:space="preserve"> </w:t>
      </w:r>
      <w:r w:rsidRPr="001111BA">
        <w:rPr>
          <w:i/>
        </w:rPr>
        <w:t>bekezdés a) pont</w:t>
      </w:r>
      <w:r w:rsidRPr="001111BA">
        <w:t xml:space="preserve"> alapján a hatóság az adatszolgáltatásra kötelezettel szemben a határidő lejáratát követő 15 napos „türelmi időt” adhat.</w:t>
      </w:r>
    </w:p>
    <w:p w:rsidR="00C16B5D" w:rsidRPr="001111BA" w:rsidRDefault="00C16B5D" w:rsidP="00C16B5D">
      <w:pPr>
        <w:jc w:val="both"/>
      </w:pPr>
      <w:r w:rsidRPr="001111BA">
        <w:t xml:space="preserve">Amennyiben a türelmi idő lejáratát követően az Engedélyes adatbenyújtási kötelezettségnek nem tesz eleget, az </w:t>
      </w:r>
      <w:r w:rsidRPr="001111BA">
        <w:rPr>
          <w:i/>
        </w:rPr>
        <w:t>Éltv. 60. § (1) bekezdés o) pontja</w:t>
      </w:r>
      <w:r w:rsidRPr="001111BA">
        <w:t xml:space="preserve"> alapján növényvédelmi bírsággal sújtható. A </w:t>
      </w:r>
      <w:r w:rsidRPr="001111BA">
        <w:rPr>
          <w:i/>
        </w:rPr>
        <w:t xml:space="preserve">(2) bekezdés </w:t>
      </w:r>
      <w:r w:rsidRPr="001111BA">
        <w:t>értelmében a bírság ismételten kiszabható!</w:t>
      </w:r>
    </w:p>
    <w:p w:rsidR="00C16B5D" w:rsidRPr="001111BA" w:rsidRDefault="00C16B5D" w:rsidP="00C16B5D">
      <w:pPr>
        <w:jc w:val="both"/>
      </w:pPr>
    </w:p>
    <w:p w:rsidR="00C16B5D" w:rsidRPr="001111BA" w:rsidRDefault="00C16B5D" w:rsidP="00C16B5D">
      <w:pPr>
        <w:pStyle w:val="NormlWeb"/>
        <w:spacing w:before="0" w:beforeAutospacing="0" w:after="0" w:afterAutospacing="0"/>
        <w:jc w:val="both"/>
        <w:rPr>
          <w:b/>
        </w:rPr>
      </w:pPr>
      <w:r w:rsidRPr="001111BA">
        <w:rPr>
          <w:b/>
        </w:rPr>
        <w:t>Párhuzamos behozatal</w:t>
      </w:r>
      <w:r w:rsidRPr="001111BA">
        <w:t xml:space="preserve"> esetén a </w:t>
      </w:r>
      <w:r w:rsidRPr="001111BA">
        <w:rPr>
          <w:i/>
        </w:rPr>
        <w:t>89/2004. FVM rendelet 20. § (11) bekezdés</w:t>
      </w:r>
      <w:r w:rsidRPr="001111BA">
        <w:t xml:space="preserve"> értelmében az Importőrnek az engedély alapján behozott növényvédő szer mennyiségéről – az </w:t>
      </w:r>
      <w:r w:rsidRPr="001111BA">
        <w:rPr>
          <w:i/>
        </w:rPr>
        <w:t>Éltv. 17. § (5)</w:t>
      </w:r>
      <w:r w:rsidRPr="001111BA">
        <w:t xml:space="preserve"> bekezdésének megfelelő tartalommal – az engedélyező hatóságot legkésőbb a behozatalt követő 15. napon tájékoztatnia kell, amellyel eleget tesz az adatszolgáltatási kötelezettségének. </w:t>
      </w:r>
      <w:r w:rsidRPr="001111BA">
        <w:rPr>
          <w:b/>
        </w:rPr>
        <w:t xml:space="preserve">Továbbá jelentést köteles készíteni a magyarországi növényvédőszer-forgalmára vonatkozóan az Éltv. 17. § (5) bekezdésének megfelelő tartalommal az ott megszabott határidőre. </w:t>
      </w:r>
    </w:p>
    <w:p w:rsidR="00C16B5D" w:rsidRPr="001111BA" w:rsidRDefault="00C16B5D" w:rsidP="00C16B5D">
      <w:pPr>
        <w:jc w:val="both"/>
        <w:rPr>
          <w:b/>
          <w:highlight w:val="yellow"/>
        </w:rPr>
      </w:pPr>
      <w:r w:rsidRPr="001111BA">
        <w:rPr>
          <w:b/>
        </w:rPr>
        <w:t>Együttműködésüket megköszönöm.</w:t>
      </w:r>
    </w:p>
    <w:p w:rsidR="00C16B5D" w:rsidRPr="001111BA" w:rsidRDefault="00C16B5D" w:rsidP="00C16B5D">
      <w:pPr>
        <w:rPr>
          <w:b/>
          <w:highlight w:val="yellow"/>
        </w:rPr>
      </w:pPr>
    </w:p>
    <w:p w:rsidR="00C16B5D" w:rsidRPr="001111BA" w:rsidRDefault="00C16B5D" w:rsidP="00C16B5D">
      <w:pPr>
        <w:rPr>
          <w:i/>
        </w:rPr>
      </w:pPr>
      <w:r w:rsidRPr="001111BA">
        <w:rPr>
          <w:i/>
        </w:rPr>
        <w:t>Forrás: dr. Bleicher Edit</w:t>
      </w:r>
    </w:p>
    <w:p w:rsidR="00C16B5D" w:rsidRPr="001111BA" w:rsidRDefault="00C16B5D" w:rsidP="00C16B5D">
      <w:pPr>
        <w:rPr>
          <w:b/>
          <w:highlight w:val="yellow"/>
        </w:rPr>
      </w:pPr>
    </w:p>
    <w:p w:rsidR="00C16B5D" w:rsidRPr="001111BA" w:rsidRDefault="00C16B5D" w:rsidP="00C16B5D">
      <w:pPr>
        <w:overflowPunct w:val="0"/>
        <w:adjustRightInd w:val="0"/>
        <w:rPr>
          <w:i/>
        </w:rPr>
      </w:pPr>
      <w:r w:rsidRPr="001111BA">
        <w:rPr>
          <w:i/>
          <w:u w:val="single"/>
        </w:rPr>
        <w:lastRenderedPageBreak/>
        <w:t>Melléklet</w:t>
      </w:r>
      <w:r w:rsidRPr="001111BA">
        <w:rPr>
          <w:i/>
        </w:rPr>
        <w:t xml:space="preserve">: Jelentés a </w:t>
      </w:r>
      <w:r w:rsidRPr="001111BA">
        <w:rPr>
          <w:b/>
          <w:i/>
        </w:rPr>
        <w:t>2015.</w:t>
      </w:r>
      <w:r w:rsidRPr="001111BA">
        <w:rPr>
          <w:i/>
        </w:rPr>
        <w:t xml:space="preserve"> évi növényvédőszer-forgalomról</w:t>
      </w:r>
    </w:p>
    <w:p w:rsidR="00C16B5D" w:rsidRPr="001111BA" w:rsidRDefault="00C16B5D" w:rsidP="00C16B5D">
      <w:pPr>
        <w:overflowPunct w:val="0"/>
        <w:adjustRightInd w:val="0"/>
      </w:pPr>
    </w:p>
    <w:p w:rsidR="00C16B5D" w:rsidRPr="001111BA" w:rsidRDefault="00C16B5D" w:rsidP="00C16B5D">
      <w:pPr>
        <w:pStyle w:val="lfej"/>
        <w:tabs>
          <w:tab w:val="clear" w:pos="4536"/>
          <w:tab w:val="clear" w:pos="9072"/>
        </w:tabs>
        <w:jc w:val="center"/>
      </w:pPr>
      <w:r w:rsidRPr="001111BA">
        <w:rPr>
          <w:b/>
          <w:bCs/>
        </w:rPr>
        <w:t>JELENTÉS A 2015. ÉVI NÖVÉNYVÉDŐSZER-FORGALOMRÓL</w:t>
      </w:r>
    </w:p>
    <w:p w:rsidR="00C16B5D" w:rsidRPr="001111BA" w:rsidRDefault="00C16B5D" w:rsidP="00C16B5D">
      <w:pPr>
        <w:pStyle w:val="lfej"/>
        <w:tabs>
          <w:tab w:val="clear" w:pos="4536"/>
          <w:tab w:val="clear" w:pos="9072"/>
        </w:tabs>
        <w:spacing w:before="120"/>
        <w:jc w:val="both"/>
        <w:rPr>
          <w:b/>
          <w:bCs/>
        </w:rPr>
      </w:pPr>
      <w:r w:rsidRPr="001111BA">
        <w:rPr>
          <w:b/>
          <w:bCs/>
        </w:rPr>
        <w:t xml:space="preserve">Adatküldő neve: </w:t>
      </w:r>
    </w:p>
    <w:p w:rsidR="00C16B5D" w:rsidRPr="001111BA" w:rsidRDefault="00C16B5D" w:rsidP="00C16B5D">
      <w:pPr>
        <w:pStyle w:val="lfej"/>
        <w:tabs>
          <w:tab w:val="clear" w:pos="4536"/>
          <w:tab w:val="clear" w:pos="9072"/>
          <w:tab w:val="left" w:pos="1080"/>
        </w:tabs>
        <w:spacing w:after="120"/>
        <w:jc w:val="both"/>
        <w:rPr>
          <w:b/>
          <w:bCs/>
        </w:rPr>
      </w:pPr>
      <w:r w:rsidRPr="001111BA">
        <w:rPr>
          <w:b/>
          <w:bCs/>
        </w:rPr>
        <w:tab/>
        <w:t xml:space="preserve"> címe: </w:t>
      </w:r>
    </w:p>
    <w:p w:rsidR="00C16B5D" w:rsidRPr="001111BA" w:rsidRDefault="00C16B5D" w:rsidP="00C16B5D">
      <w:pPr>
        <w:pStyle w:val="lfej"/>
        <w:tabs>
          <w:tab w:val="clear" w:pos="4536"/>
          <w:tab w:val="clear" w:pos="9072"/>
          <w:tab w:val="left" w:pos="1080"/>
          <w:tab w:val="left" w:pos="1620"/>
          <w:tab w:val="left" w:pos="1800"/>
        </w:tabs>
        <w:jc w:val="both"/>
      </w:pPr>
      <w:r w:rsidRPr="001111BA">
        <w:rPr>
          <w:b/>
          <w:bCs/>
        </w:rPr>
        <w:t>Adatkérő neve:</w:t>
      </w:r>
      <w:r w:rsidRPr="001111BA">
        <w:rPr>
          <w:b/>
          <w:bCs/>
        </w:rPr>
        <w:tab/>
        <w:t xml:space="preserve">  </w:t>
      </w:r>
      <w:r w:rsidRPr="001111BA">
        <w:t xml:space="preserve"> </w:t>
      </w:r>
      <w:r w:rsidRPr="001111BA">
        <w:rPr>
          <w:b/>
        </w:rPr>
        <w:t>Nemzeti Élelmiszerlánc-biztonsági Hivatal</w:t>
      </w:r>
    </w:p>
    <w:p w:rsidR="00C16B5D" w:rsidRPr="001111BA" w:rsidRDefault="00C16B5D" w:rsidP="00C16B5D">
      <w:pPr>
        <w:pStyle w:val="lfej"/>
        <w:tabs>
          <w:tab w:val="clear" w:pos="4536"/>
          <w:tab w:val="clear" w:pos="9072"/>
          <w:tab w:val="left" w:pos="1080"/>
          <w:tab w:val="left" w:pos="1620"/>
          <w:tab w:val="left" w:pos="1800"/>
        </w:tabs>
        <w:jc w:val="both"/>
      </w:pPr>
      <w:r w:rsidRPr="001111BA">
        <w:tab/>
      </w:r>
      <w:r w:rsidRPr="001111BA">
        <w:tab/>
      </w:r>
      <w:r w:rsidRPr="001111BA">
        <w:tab/>
        <w:t xml:space="preserve">Növény-. Talaj- és Agrárkörnyezet-védelmi Igazgatóság </w:t>
      </w:r>
    </w:p>
    <w:p w:rsidR="00C16B5D" w:rsidRPr="001111BA" w:rsidRDefault="00C16B5D" w:rsidP="00C16B5D">
      <w:pPr>
        <w:pStyle w:val="lfej"/>
        <w:tabs>
          <w:tab w:val="clear" w:pos="4536"/>
          <w:tab w:val="clear" w:pos="9072"/>
          <w:tab w:val="left" w:pos="1080"/>
          <w:tab w:val="left" w:pos="1620"/>
          <w:tab w:val="left" w:pos="1800"/>
        </w:tabs>
        <w:jc w:val="both"/>
      </w:pPr>
      <w:r w:rsidRPr="001111BA">
        <w:tab/>
      </w:r>
      <w:r w:rsidRPr="001111BA">
        <w:tab/>
      </w:r>
      <w:r w:rsidRPr="001111BA">
        <w:tab/>
        <w:t xml:space="preserve">1118 Budapest, Budaörsi út 141-145. </w:t>
      </w:r>
    </w:p>
    <w:p w:rsidR="00C16B5D" w:rsidRPr="001111BA" w:rsidRDefault="00C16B5D" w:rsidP="00C16B5D">
      <w:pPr>
        <w:pStyle w:val="lfej"/>
        <w:tabs>
          <w:tab w:val="clear" w:pos="4536"/>
          <w:tab w:val="clear" w:pos="9072"/>
          <w:tab w:val="left" w:pos="1080"/>
          <w:tab w:val="left" w:pos="1620"/>
          <w:tab w:val="left" w:pos="1800"/>
        </w:tabs>
        <w:jc w:val="both"/>
      </w:pPr>
    </w:p>
    <w:p w:rsidR="00C16B5D" w:rsidRPr="001111BA" w:rsidRDefault="00C16B5D" w:rsidP="00C16B5D">
      <w:pPr>
        <w:pStyle w:val="lfej"/>
        <w:tabs>
          <w:tab w:val="clear" w:pos="4536"/>
          <w:tab w:val="clear" w:pos="9072"/>
          <w:tab w:val="left" w:pos="1080"/>
        </w:tabs>
        <w:spacing w:after="120"/>
        <w:jc w:val="center"/>
        <w:rPr>
          <w:b/>
          <w:bCs/>
        </w:rPr>
      </w:pPr>
      <w:r w:rsidRPr="001111BA">
        <w:rPr>
          <w:b/>
          <w:bCs/>
        </w:rPr>
        <w:t>Növényvédő szerek neve és forgalmazott mennyisége</w:t>
      </w:r>
    </w:p>
    <w:tbl>
      <w:tblPr>
        <w:tblW w:w="95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1913"/>
        <w:gridCol w:w="1559"/>
        <w:gridCol w:w="1605"/>
        <w:gridCol w:w="753"/>
        <w:gridCol w:w="709"/>
        <w:gridCol w:w="709"/>
        <w:gridCol w:w="850"/>
        <w:gridCol w:w="709"/>
        <w:gridCol w:w="709"/>
      </w:tblGrid>
      <w:tr w:rsidR="00C16B5D" w:rsidRPr="001111BA" w:rsidTr="00C42CF6">
        <w:trPr>
          <w:trHeight w:val="552"/>
        </w:trPr>
        <w:tc>
          <w:tcPr>
            <w:tcW w:w="1913" w:type="dxa"/>
            <w:vMerge w:val="restart"/>
            <w:tcBorders>
              <w:top w:val="double" w:sz="4" w:space="0" w:color="auto"/>
            </w:tcBorders>
          </w:tcPr>
          <w:p w:rsidR="00C16B5D" w:rsidRPr="001111BA" w:rsidRDefault="00C16B5D" w:rsidP="00C42CF6">
            <w:pPr>
              <w:pStyle w:val="lfej"/>
              <w:tabs>
                <w:tab w:val="clear" w:pos="4536"/>
                <w:tab w:val="clear" w:pos="9072"/>
                <w:tab w:val="left" w:pos="1080"/>
              </w:tabs>
              <w:jc w:val="center"/>
              <w:rPr>
                <w:b/>
                <w:bCs/>
              </w:rPr>
            </w:pPr>
            <w:r w:rsidRPr="001111BA">
              <w:rPr>
                <w:b/>
                <w:bCs/>
              </w:rPr>
              <w:t>Megnevezés</w:t>
            </w:r>
          </w:p>
        </w:tc>
        <w:tc>
          <w:tcPr>
            <w:tcW w:w="1559" w:type="dxa"/>
            <w:vMerge w:val="restart"/>
            <w:tcBorders>
              <w:top w:val="double" w:sz="4" w:space="0" w:color="auto"/>
            </w:tcBorders>
          </w:tcPr>
          <w:p w:rsidR="00C16B5D" w:rsidRPr="001111BA" w:rsidRDefault="00C16B5D" w:rsidP="00C42CF6">
            <w:pPr>
              <w:pStyle w:val="lfej"/>
              <w:tabs>
                <w:tab w:val="clear" w:pos="4536"/>
                <w:tab w:val="clear" w:pos="9072"/>
                <w:tab w:val="left" w:pos="1080"/>
              </w:tabs>
              <w:jc w:val="center"/>
              <w:rPr>
                <w:b/>
                <w:bCs/>
              </w:rPr>
            </w:pPr>
            <w:r w:rsidRPr="001111BA">
              <w:rPr>
                <w:b/>
                <w:bCs/>
              </w:rPr>
              <w:t>Forgalmazott mennyiség (kg)</w:t>
            </w:r>
          </w:p>
        </w:tc>
        <w:tc>
          <w:tcPr>
            <w:tcW w:w="1605" w:type="dxa"/>
            <w:vMerge w:val="restart"/>
            <w:tcBorders>
              <w:top w:val="double" w:sz="4" w:space="0" w:color="auto"/>
            </w:tcBorders>
          </w:tcPr>
          <w:p w:rsidR="00C16B5D" w:rsidRPr="001111BA" w:rsidRDefault="00C16B5D" w:rsidP="00C42CF6">
            <w:pPr>
              <w:pStyle w:val="lfej"/>
              <w:tabs>
                <w:tab w:val="clear" w:pos="4536"/>
                <w:tab w:val="clear" w:pos="9072"/>
                <w:tab w:val="left" w:pos="1080"/>
              </w:tabs>
              <w:jc w:val="center"/>
              <w:rPr>
                <w:b/>
                <w:bCs/>
              </w:rPr>
            </w:pPr>
            <w:r w:rsidRPr="001111BA">
              <w:rPr>
                <w:b/>
                <w:bCs/>
              </w:rPr>
              <w:t>Forgalmazott mennyiség összértéke (Ft)</w:t>
            </w:r>
          </w:p>
        </w:tc>
        <w:tc>
          <w:tcPr>
            <w:tcW w:w="4439" w:type="dxa"/>
            <w:gridSpan w:val="6"/>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center"/>
              <w:rPr>
                <w:b/>
                <w:bCs/>
              </w:rPr>
            </w:pPr>
            <w:r w:rsidRPr="001111BA">
              <w:rPr>
                <w:b/>
                <w:bCs/>
              </w:rPr>
              <w:t>Csomagolóanyag mennyisége</w:t>
            </w:r>
          </w:p>
          <w:p w:rsidR="00C16B5D" w:rsidRPr="001111BA" w:rsidRDefault="00C16B5D" w:rsidP="00C42CF6">
            <w:pPr>
              <w:pStyle w:val="lfej"/>
              <w:tabs>
                <w:tab w:val="clear" w:pos="4536"/>
                <w:tab w:val="clear" w:pos="9072"/>
                <w:tab w:val="left" w:pos="1080"/>
              </w:tabs>
              <w:jc w:val="center"/>
              <w:rPr>
                <w:b/>
                <w:bCs/>
              </w:rPr>
            </w:pPr>
            <w:r w:rsidRPr="001111BA">
              <w:rPr>
                <w:b/>
                <w:bCs/>
              </w:rPr>
              <w:t>(kg)</w:t>
            </w:r>
          </w:p>
        </w:tc>
      </w:tr>
      <w:tr w:rsidR="00C16B5D" w:rsidRPr="001111BA" w:rsidTr="00C42CF6">
        <w:trPr>
          <w:trHeight w:val="551"/>
        </w:trPr>
        <w:tc>
          <w:tcPr>
            <w:tcW w:w="1913" w:type="dxa"/>
            <w:vMerge/>
            <w:tcBorders>
              <w:bottom w:val="double" w:sz="4" w:space="0" w:color="auto"/>
            </w:tcBorders>
          </w:tcPr>
          <w:p w:rsidR="00C16B5D" w:rsidRPr="001111BA" w:rsidRDefault="00C16B5D" w:rsidP="00C42CF6">
            <w:pPr>
              <w:pStyle w:val="lfej"/>
              <w:tabs>
                <w:tab w:val="clear" w:pos="4536"/>
                <w:tab w:val="clear" w:pos="9072"/>
                <w:tab w:val="left" w:pos="1080"/>
              </w:tabs>
              <w:jc w:val="center"/>
              <w:rPr>
                <w:b/>
                <w:bCs/>
              </w:rPr>
            </w:pPr>
          </w:p>
        </w:tc>
        <w:tc>
          <w:tcPr>
            <w:tcW w:w="1559" w:type="dxa"/>
            <w:vMerge/>
            <w:tcBorders>
              <w:bottom w:val="double" w:sz="4" w:space="0" w:color="auto"/>
            </w:tcBorders>
          </w:tcPr>
          <w:p w:rsidR="00C16B5D" w:rsidRPr="001111BA" w:rsidRDefault="00C16B5D" w:rsidP="00C42CF6">
            <w:pPr>
              <w:pStyle w:val="lfej"/>
              <w:tabs>
                <w:tab w:val="clear" w:pos="4536"/>
                <w:tab w:val="clear" w:pos="9072"/>
                <w:tab w:val="left" w:pos="1080"/>
              </w:tabs>
              <w:jc w:val="center"/>
              <w:rPr>
                <w:b/>
                <w:bCs/>
              </w:rPr>
            </w:pPr>
          </w:p>
        </w:tc>
        <w:tc>
          <w:tcPr>
            <w:tcW w:w="1605" w:type="dxa"/>
            <w:vMerge/>
            <w:tcBorders>
              <w:bottom w:val="double" w:sz="4" w:space="0" w:color="auto"/>
            </w:tcBorders>
          </w:tcPr>
          <w:p w:rsidR="00C16B5D" w:rsidRPr="001111BA" w:rsidRDefault="00C16B5D" w:rsidP="00C42CF6">
            <w:pPr>
              <w:pStyle w:val="lfej"/>
              <w:tabs>
                <w:tab w:val="clear" w:pos="4536"/>
                <w:tab w:val="clear" w:pos="9072"/>
                <w:tab w:val="left" w:pos="1080"/>
              </w:tabs>
              <w:jc w:val="center"/>
              <w:rPr>
                <w:b/>
                <w:bCs/>
              </w:rPr>
            </w:pPr>
          </w:p>
        </w:tc>
        <w:tc>
          <w:tcPr>
            <w:tcW w:w="753"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center"/>
              <w:rPr>
                <w:bCs/>
                <w:sz w:val="20"/>
              </w:rPr>
            </w:pPr>
            <w:r w:rsidRPr="001111BA">
              <w:rPr>
                <w:bCs/>
                <w:sz w:val="20"/>
              </w:rPr>
              <w:t>Mű-anyag</w:t>
            </w:r>
          </w:p>
        </w:tc>
        <w:tc>
          <w:tcPr>
            <w:tcW w:w="709" w:type="dxa"/>
            <w:tcBorders>
              <w:bottom w:val="double" w:sz="4" w:space="0" w:color="auto"/>
            </w:tcBorders>
            <w:shd w:val="clear" w:color="auto" w:fill="auto"/>
          </w:tcPr>
          <w:p w:rsidR="00C16B5D" w:rsidRPr="001111BA" w:rsidRDefault="00C16B5D" w:rsidP="00C42CF6">
            <w:pPr>
              <w:pStyle w:val="lfej"/>
              <w:tabs>
                <w:tab w:val="clear" w:pos="4536"/>
                <w:tab w:val="clear" w:pos="9072"/>
                <w:tab w:val="left" w:pos="1080"/>
              </w:tabs>
              <w:jc w:val="center"/>
              <w:rPr>
                <w:bCs/>
                <w:sz w:val="20"/>
              </w:rPr>
            </w:pPr>
            <w:r w:rsidRPr="001111BA">
              <w:rPr>
                <w:bCs/>
                <w:sz w:val="20"/>
              </w:rPr>
              <w:t>Papír</w:t>
            </w:r>
          </w:p>
        </w:tc>
        <w:tc>
          <w:tcPr>
            <w:tcW w:w="709" w:type="dxa"/>
            <w:tcBorders>
              <w:bottom w:val="double" w:sz="4" w:space="0" w:color="auto"/>
            </w:tcBorders>
            <w:shd w:val="clear" w:color="auto" w:fill="auto"/>
          </w:tcPr>
          <w:p w:rsidR="00C16B5D" w:rsidRPr="001111BA" w:rsidRDefault="00C16B5D" w:rsidP="00C42CF6">
            <w:pPr>
              <w:pStyle w:val="lfej"/>
              <w:tabs>
                <w:tab w:val="clear" w:pos="4536"/>
                <w:tab w:val="clear" w:pos="9072"/>
                <w:tab w:val="left" w:pos="1080"/>
              </w:tabs>
              <w:jc w:val="center"/>
              <w:rPr>
                <w:bCs/>
                <w:sz w:val="20"/>
              </w:rPr>
            </w:pPr>
            <w:r w:rsidRPr="001111BA">
              <w:rPr>
                <w:bCs/>
                <w:sz w:val="20"/>
              </w:rPr>
              <w:t>Fa</w:t>
            </w:r>
          </w:p>
        </w:tc>
        <w:tc>
          <w:tcPr>
            <w:tcW w:w="850" w:type="dxa"/>
            <w:tcBorders>
              <w:bottom w:val="double" w:sz="4" w:space="0" w:color="auto"/>
            </w:tcBorders>
            <w:shd w:val="clear" w:color="auto" w:fill="auto"/>
          </w:tcPr>
          <w:p w:rsidR="00C16B5D" w:rsidRPr="001111BA" w:rsidRDefault="00C16B5D" w:rsidP="00C42CF6">
            <w:pPr>
              <w:pStyle w:val="lfej"/>
              <w:tabs>
                <w:tab w:val="clear" w:pos="4536"/>
                <w:tab w:val="clear" w:pos="9072"/>
                <w:tab w:val="left" w:pos="1080"/>
              </w:tabs>
              <w:jc w:val="center"/>
              <w:rPr>
                <w:bCs/>
                <w:sz w:val="20"/>
              </w:rPr>
            </w:pPr>
            <w:r w:rsidRPr="001111BA">
              <w:rPr>
                <w:bCs/>
                <w:sz w:val="20"/>
              </w:rPr>
              <w:t>Fém</w:t>
            </w:r>
          </w:p>
        </w:tc>
        <w:tc>
          <w:tcPr>
            <w:tcW w:w="709" w:type="dxa"/>
            <w:tcBorders>
              <w:bottom w:val="double" w:sz="4" w:space="0" w:color="auto"/>
            </w:tcBorders>
            <w:shd w:val="clear" w:color="auto" w:fill="auto"/>
          </w:tcPr>
          <w:p w:rsidR="00C16B5D" w:rsidRPr="001111BA" w:rsidRDefault="00C16B5D" w:rsidP="00C42CF6">
            <w:pPr>
              <w:pStyle w:val="lfej"/>
              <w:tabs>
                <w:tab w:val="clear" w:pos="4536"/>
                <w:tab w:val="clear" w:pos="9072"/>
                <w:tab w:val="left" w:pos="1080"/>
              </w:tabs>
              <w:jc w:val="center"/>
              <w:rPr>
                <w:bCs/>
                <w:sz w:val="20"/>
              </w:rPr>
            </w:pPr>
            <w:r w:rsidRPr="001111BA">
              <w:rPr>
                <w:bCs/>
                <w:sz w:val="20"/>
              </w:rPr>
              <w:t>Üveg</w:t>
            </w:r>
          </w:p>
        </w:tc>
        <w:tc>
          <w:tcPr>
            <w:tcW w:w="709" w:type="dxa"/>
            <w:tcBorders>
              <w:bottom w:val="double" w:sz="4" w:space="0" w:color="auto"/>
            </w:tcBorders>
            <w:shd w:val="clear" w:color="auto" w:fill="auto"/>
          </w:tcPr>
          <w:p w:rsidR="00C16B5D" w:rsidRPr="001111BA" w:rsidRDefault="00C16B5D" w:rsidP="00C42CF6">
            <w:pPr>
              <w:pStyle w:val="lfej"/>
              <w:tabs>
                <w:tab w:val="clear" w:pos="4536"/>
                <w:tab w:val="clear" w:pos="9072"/>
                <w:tab w:val="left" w:pos="1080"/>
              </w:tabs>
              <w:jc w:val="center"/>
              <w:rPr>
                <w:bCs/>
                <w:sz w:val="20"/>
              </w:rPr>
            </w:pPr>
            <w:r w:rsidRPr="001111BA">
              <w:rPr>
                <w:bCs/>
                <w:sz w:val="20"/>
              </w:rPr>
              <w:t xml:space="preserve">Egyéb </w:t>
            </w:r>
          </w:p>
        </w:tc>
      </w:tr>
      <w:tr w:rsidR="00C16B5D" w:rsidRPr="001111BA" w:rsidTr="00C42CF6">
        <w:tc>
          <w:tcPr>
            <w:tcW w:w="9516" w:type="dxa"/>
            <w:gridSpan w:val="9"/>
            <w:tcBorders>
              <w:top w:val="double" w:sz="4" w:space="0" w:color="auto"/>
            </w:tcBorders>
          </w:tcPr>
          <w:p w:rsidR="00C16B5D" w:rsidRPr="001111BA" w:rsidRDefault="00C16B5D" w:rsidP="00C42CF6">
            <w:pPr>
              <w:pStyle w:val="lfej"/>
              <w:tabs>
                <w:tab w:val="clear" w:pos="4536"/>
                <w:tab w:val="clear" w:pos="9072"/>
                <w:tab w:val="left" w:pos="1080"/>
              </w:tabs>
              <w:jc w:val="both"/>
              <w:rPr>
                <w:b/>
                <w:bCs/>
              </w:rPr>
            </w:pPr>
            <w:r w:rsidRPr="001111BA">
              <w:rPr>
                <w:b/>
                <w:bCs/>
              </w:rPr>
              <w:t>I. Gombaölő szerek</w:t>
            </w:r>
          </w:p>
        </w:tc>
      </w:tr>
      <w:tr w:rsidR="00C16B5D" w:rsidRPr="001111BA" w:rsidTr="00C42CF6">
        <w:tc>
          <w:tcPr>
            <w:tcW w:w="1913" w:type="dxa"/>
          </w:tcPr>
          <w:p w:rsidR="00C16B5D" w:rsidRPr="001111BA" w:rsidRDefault="00C16B5D" w:rsidP="00C42CF6">
            <w:pPr>
              <w:pStyle w:val="lfej"/>
              <w:tabs>
                <w:tab w:val="clear" w:pos="4536"/>
                <w:tab w:val="clear" w:pos="9072"/>
                <w:tab w:val="left" w:pos="1080"/>
              </w:tabs>
              <w:jc w:val="both"/>
              <w:rPr>
                <w:b/>
                <w:bCs/>
              </w:rPr>
            </w:pPr>
          </w:p>
        </w:tc>
        <w:tc>
          <w:tcPr>
            <w:tcW w:w="1559" w:type="dxa"/>
          </w:tcPr>
          <w:p w:rsidR="00C16B5D" w:rsidRPr="001111BA" w:rsidRDefault="00C16B5D" w:rsidP="00C42CF6">
            <w:pPr>
              <w:pStyle w:val="lfej"/>
              <w:tabs>
                <w:tab w:val="clear" w:pos="4536"/>
                <w:tab w:val="clear" w:pos="9072"/>
                <w:tab w:val="left" w:pos="1080"/>
              </w:tabs>
              <w:jc w:val="right"/>
              <w:rPr>
                <w:bCs/>
              </w:rPr>
            </w:pPr>
          </w:p>
        </w:tc>
        <w:tc>
          <w:tcPr>
            <w:tcW w:w="1605" w:type="dxa"/>
          </w:tcPr>
          <w:p w:rsidR="00C16B5D" w:rsidRPr="001111BA" w:rsidRDefault="00C16B5D" w:rsidP="00C42CF6">
            <w:pPr>
              <w:pStyle w:val="lfej"/>
              <w:tabs>
                <w:tab w:val="clear" w:pos="4536"/>
                <w:tab w:val="clear" w:pos="9072"/>
                <w:tab w:val="left" w:pos="1080"/>
              </w:tabs>
              <w:jc w:val="both"/>
              <w:rPr>
                <w:b/>
                <w:bCs/>
              </w:rPr>
            </w:pPr>
          </w:p>
        </w:tc>
        <w:tc>
          <w:tcPr>
            <w:tcW w:w="753" w:type="dxa"/>
          </w:tcPr>
          <w:p w:rsidR="00C16B5D" w:rsidRPr="001111BA" w:rsidRDefault="00C16B5D" w:rsidP="00C42CF6">
            <w:pPr>
              <w:pStyle w:val="lfej"/>
              <w:tabs>
                <w:tab w:val="clear" w:pos="4536"/>
                <w:tab w:val="clear" w:pos="9072"/>
                <w:tab w:val="left" w:pos="1080"/>
              </w:tabs>
              <w:jc w:val="right"/>
              <w:rPr>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850"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Borders>
              <w:top w:val="single" w:sz="4" w:space="0" w:color="auto"/>
              <w:bottom w:val="sing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1913" w:type="dxa"/>
          </w:tcPr>
          <w:p w:rsidR="00C16B5D" w:rsidRPr="001111BA" w:rsidRDefault="00C16B5D" w:rsidP="00C42CF6">
            <w:pPr>
              <w:pStyle w:val="lfej"/>
              <w:tabs>
                <w:tab w:val="clear" w:pos="4536"/>
                <w:tab w:val="clear" w:pos="9072"/>
                <w:tab w:val="left" w:pos="1080"/>
              </w:tabs>
              <w:jc w:val="both"/>
              <w:rPr>
                <w:b/>
                <w:bCs/>
              </w:rPr>
            </w:pPr>
          </w:p>
        </w:tc>
        <w:tc>
          <w:tcPr>
            <w:tcW w:w="1559" w:type="dxa"/>
          </w:tcPr>
          <w:p w:rsidR="00C16B5D" w:rsidRPr="001111BA" w:rsidRDefault="00C16B5D" w:rsidP="00C42CF6">
            <w:pPr>
              <w:pStyle w:val="lfej"/>
              <w:tabs>
                <w:tab w:val="clear" w:pos="4536"/>
                <w:tab w:val="clear" w:pos="9072"/>
                <w:tab w:val="left" w:pos="1080"/>
              </w:tabs>
              <w:jc w:val="right"/>
              <w:rPr>
                <w:bCs/>
              </w:rPr>
            </w:pPr>
          </w:p>
        </w:tc>
        <w:tc>
          <w:tcPr>
            <w:tcW w:w="1605" w:type="dxa"/>
          </w:tcPr>
          <w:p w:rsidR="00C16B5D" w:rsidRPr="001111BA" w:rsidRDefault="00C16B5D" w:rsidP="00C42CF6">
            <w:pPr>
              <w:pStyle w:val="lfej"/>
              <w:tabs>
                <w:tab w:val="clear" w:pos="4536"/>
                <w:tab w:val="clear" w:pos="9072"/>
                <w:tab w:val="left" w:pos="1080"/>
              </w:tabs>
              <w:jc w:val="both"/>
              <w:rPr>
                <w:b/>
                <w:bCs/>
              </w:rPr>
            </w:pPr>
          </w:p>
        </w:tc>
        <w:tc>
          <w:tcPr>
            <w:tcW w:w="753" w:type="dxa"/>
          </w:tcPr>
          <w:p w:rsidR="00C16B5D" w:rsidRPr="001111BA" w:rsidRDefault="00C16B5D" w:rsidP="00C42CF6">
            <w:pPr>
              <w:pStyle w:val="lfej"/>
              <w:tabs>
                <w:tab w:val="clear" w:pos="4536"/>
                <w:tab w:val="clear" w:pos="9072"/>
                <w:tab w:val="left" w:pos="1080"/>
              </w:tabs>
              <w:jc w:val="right"/>
              <w:rPr>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850"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Borders>
              <w:top w:val="single" w:sz="4" w:space="0" w:color="auto"/>
              <w:bottom w:val="sing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1913"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r w:rsidRPr="001111BA">
              <w:rPr>
                <w:b/>
                <w:bCs/>
              </w:rPr>
              <w:t>Összesen</w:t>
            </w:r>
          </w:p>
        </w:tc>
        <w:tc>
          <w:tcPr>
            <w:tcW w:w="155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right"/>
              <w:rPr>
                <w:b/>
                <w:bCs/>
              </w:rPr>
            </w:pPr>
          </w:p>
        </w:tc>
        <w:tc>
          <w:tcPr>
            <w:tcW w:w="1605"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53"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right"/>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850"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9516" w:type="dxa"/>
            <w:gridSpan w:val="9"/>
            <w:tcBorders>
              <w:top w:val="double" w:sz="4" w:space="0" w:color="auto"/>
            </w:tcBorders>
          </w:tcPr>
          <w:p w:rsidR="00C16B5D" w:rsidRPr="001111BA" w:rsidRDefault="00C16B5D" w:rsidP="00C42CF6">
            <w:pPr>
              <w:pStyle w:val="lfej"/>
              <w:tabs>
                <w:tab w:val="clear" w:pos="4536"/>
                <w:tab w:val="clear" w:pos="9072"/>
                <w:tab w:val="left" w:pos="1080"/>
              </w:tabs>
              <w:jc w:val="both"/>
              <w:rPr>
                <w:b/>
                <w:bCs/>
              </w:rPr>
            </w:pPr>
            <w:r w:rsidRPr="001111BA">
              <w:rPr>
                <w:b/>
                <w:bCs/>
              </w:rPr>
              <w:t>II. Rovarölő szerek</w:t>
            </w:r>
          </w:p>
        </w:tc>
      </w:tr>
      <w:tr w:rsidR="00C16B5D" w:rsidRPr="001111BA" w:rsidTr="00C42CF6">
        <w:tc>
          <w:tcPr>
            <w:tcW w:w="1913" w:type="dxa"/>
          </w:tcPr>
          <w:p w:rsidR="00C16B5D" w:rsidRPr="001111BA" w:rsidRDefault="00C16B5D" w:rsidP="00C42CF6">
            <w:pPr>
              <w:pStyle w:val="lfej"/>
              <w:tabs>
                <w:tab w:val="clear" w:pos="4536"/>
                <w:tab w:val="clear" w:pos="9072"/>
                <w:tab w:val="left" w:pos="1080"/>
              </w:tabs>
              <w:jc w:val="both"/>
              <w:rPr>
                <w:b/>
                <w:bCs/>
              </w:rPr>
            </w:pPr>
          </w:p>
        </w:tc>
        <w:tc>
          <w:tcPr>
            <w:tcW w:w="1559" w:type="dxa"/>
          </w:tcPr>
          <w:p w:rsidR="00C16B5D" w:rsidRPr="001111BA" w:rsidRDefault="00C16B5D" w:rsidP="00C42CF6">
            <w:pPr>
              <w:pStyle w:val="lfej"/>
              <w:tabs>
                <w:tab w:val="clear" w:pos="4536"/>
                <w:tab w:val="clear" w:pos="9072"/>
                <w:tab w:val="left" w:pos="1080"/>
              </w:tabs>
              <w:jc w:val="right"/>
              <w:rPr>
                <w:bCs/>
              </w:rPr>
            </w:pPr>
          </w:p>
        </w:tc>
        <w:tc>
          <w:tcPr>
            <w:tcW w:w="1605" w:type="dxa"/>
          </w:tcPr>
          <w:p w:rsidR="00C16B5D" w:rsidRPr="001111BA" w:rsidRDefault="00C16B5D" w:rsidP="00C42CF6">
            <w:pPr>
              <w:pStyle w:val="lfej"/>
              <w:tabs>
                <w:tab w:val="clear" w:pos="4536"/>
                <w:tab w:val="clear" w:pos="9072"/>
                <w:tab w:val="left" w:pos="1080"/>
              </w:tabs>
              <w:jc w:val="both"/>
              <w:rPr>
                <w:b/>
                <w:bCs/>
              </w:rPr>
            </w:pPr>
          </w:p>
        </w:tc>
        <w:tc>
          <w:tcPr>
            <w:tcW w:w="753" w:type="dxa"/>
          </w:tcPr>
          <w:p w:rsidR="00C16B5D" w:rsidRPr="001111BA" w:rsidRDefault="00C16B5D" w:rsidP="00C42CF6">
            <w:pPr>
              <w:pStyle w:val="lfej"/>
              <w:tabs>
                <w:tab w:val="clear" w:pos="4536"/>
                <w:tab w:val="clear" w:pos="9072"/>
                <w:tab w:val="left" w:pos="1080"/>
              </w:tabs>
              <w:jc w:val="right"/>
              <w:rPr>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850"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Borders>
              <w:top w:val="single" w:sz="4" w:space="0" w:color="auto"/>
              <w:bottom w:val="sing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1913" w:type="dxa"/>
          </w:tcPr>
          <w:p w:rsidR="00C16B5D" w:rsidRPr="001111BA" w:rsidRDefault="00C16B5D" w:rsidP="00C42CF6">
            <w:pPr>
              <w:pStyle w:val="lfej"/>
              <w:tabs>
                <w:tab w:val="clear" w:pos="4536"/>
                <w:tab w:val="clear" w:pos="9072"/>
                <w:tab w:val="left" w:pos="1080"/>
              </w:tabs>
              <w:jc w:val="both"/>
              <w:rPr>
                <w:b/>
                <w:bCs/>
              </w:rPr>
            </w:pPr>
          </w:p>
        </w:tc>
        <w:tc>
          <w:tcPr>
            <w:tcW w:w="1559" w:type="dxa"/>
          </w:tcPr>
          <w:p w:rsidR="00C16B5D" w:rsidRPr="001111BA" w:rsidRDefault="00C16B5D" w:rsidP="00C42CF6">
            <w:pPr>
              <w:pStyle w:val="lfej"/>
              <w:tabs>
                <w:tab w:val="clear" w:pos="4536"/>
                <w:tab w:val="clear" w:pos="9072"/>
                <w:tab w:val="left" w:pos="1080"/>
              </w:tabs>
              <w:jc w:val="right"/>
              <w:rPr>
                <w:bCs/>
              </w:rPr>
            </w:pPr>
          </w:p>
        </w:tc>
        <w:tc>
          <w:tcPr>
            <w:tcW w:w="1605" w:type="dxa"/>
          </w:tcPr>
          <w:p w:rsidR="00C16B5D" w:rsidRPr="001111BA" w:rsidRDefault="00C16B5D" w:rsidP="00C42CF6">
            <w:pPr>
              <w:pStyle w:val="lfej"/>
              <w:tabs>
                <w:tab w:val="clear" w:pos="4536"/>
                <w:tab w:val="clear" w:pos="9072"/>
                <w:tab w:val="left" w:pos="1080"/>
              </w:tabs>
              <w:jc w:val="both"/>
              <w:rPr>
                <w:b/>
                <w:bCs/>
              </w:rPr>
            </w:pPr>
          </w:p>
        </w:tc>
        <w:tc>
          <w:tcPr>
            <w:tcW w:w="753" w:type="dxa"/>
          </w:tcPr>
          <w:p w:rsidR="00C16B5D" w:rsidRPr="001111BA" w:rsidRDefault="00C16B5D" w:rsidP="00C42CF6">
            <w:pPr>
              <w:pStyle w:val="lfej"/>
              <w:tabs>
                <w:tab w:val="clear" w:pos="4536"/>
                <w:tab w:val="clear" w:pos="9072"/>
                <w:tab w:val="left" w:pos="1080"/>
              </w:tabs>
              <w:jc w:val="right"/>
              <w:rPr>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850"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Borders>
              <w:top w:val="single" w:sz="4" w:space="0" w:color="auto"/>
              <w:bottom w:val="sing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1913"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r w:rsidRPr="001111BA">
              <w:rPr>
                <w:b/>
                <w:bCs/>
              </w:rPr>
              <w:t>Összesen</w:t>
            </w:r>
          </w:p>
        </w:tc>
        <w:tc>
          <w:tcPr>
            <w:tcW w:w="155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right"/>
              <w:rPr>
                <w:b/>
                <w:bCs/>
              </w:rPr>
            </w:pPr>
          </w:p>
        </w:tc>
        <w:tc>
          <w:tcPr>
            <w:tcW w:w="1605"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53"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right"/>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850"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9516" w:type="dxa"/>
            <w:gridSpan w:val="9"/>
            <w:tcBorders>
              <w:top w:val="double" w:sz="4" w:space="0" w:color="auto"/>
            </w:tcBorders>
          </w:tcPr>
          <w:p w:rsidR="00C16B5D" w:rsidRPr="001111BA" w:rsidRDefault="00C16B5D" w:rsidP="00C42CF6">
            <w:pPr>
              <w:pStyle w:val="lfej"/>
              <w:tabs>
                <w:tab w:val="clear" w:pos="4536"/>
                <w:tab w:val="clear" w:pos="9072"/>
                <w:tab w:val="left" w:pos="1080"/>
              </w:tabs>
              <w:jc w:val="both"/>
              <w:rPr>
                <w:b/>
                <w:bCs/>
              </w:rPr>
            </w:pPr>
            <w:r w:rsidRPr="001111BA">
              <w:rPr>
                <w:b/>
                <w:bCs/>
              </w:rPr>
              <w:t>III. Gyomirtó szerek</w:t>
            </w:r>
          </w:p>
        </w:tc>
      </w:tr>
      <w:tr w:rsidR="00C16B5D" w:rsidRPr="001111BA" w:rsidTr="00C42CF6">
        <w:tc>
          <w:tcPr>
            <w:tcW w:w="1913" w:type="dxa"/>
            <w:tcBorders>
              <w:bottom w:val="sing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1559" w:type="dxa"/>
            <w:tcBorders>
              <w:bottom w:val="single" w:sz="4" w:space="0" w:color="auto"/>
            </w:tcBorders>
          </w:tcPr>
          <w:p w:rsidR="00C16B5D" w:rsidRPr="001111BA" w:rsidRDefault="00C16B5D" w:rsidP="00C42CF6">
            <w:pPr>
              <w:pStyle w:val="lfej"/>
              <w:tabs>
                <w:tab w:val="clear" w:pos="4536"/>
                <w:tab w:val="clear" w:pos="9072"/>
                <w:tab w:val="left" w:pos="1080"/>
              </w:tabs>
              <w:jc w:val="right"/>
              <w:rPr>
                <w:bCs/>
              </w:rPr>
            </w:pPr>
          </w:p>
        </w:tc>
        <w:tc>
          <w:tcPr>
            <w:tcW w:w="1605" w:type="dxa"/>
            <w:tcBorders>
              <w:bottom w:val="sing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53" w:type="dxa"/>
            <w:tcBorders>
              <w:bottom w:val="single" w:sz="4" w:space="0" w:color="auto"/>
            </w:tcBorders>
          </w:tcPr>
          <w:p w:rsidR="00C16B5D" w:rsidRPr="001111BA" w:rsidRDefault="00C16B5D" w:rsidP="00C42CF6">
            <w:pPr>
              <w:pStyle w:val="lfej"/>
              <w:tabs>
                <w:tab w:val="clear" w:pos="4536"/>
                <w:tab w:val="clear" w:pos="9072"/>
                <w:tab w:val="left" w:pos="1080"/>
              </w:tabs>
              <w:jc w:val="right"/>
              <w:rPr>
                <w:bCs/>
              </w:rPr>
            </w:pPr>
          </w:p>
        </w:tc>
        <w:tc>
          <w:tcPr>
            <w:tcW w:w="709" w:type="dxa"/>
            <w:tcBorders>
              <w:bottom w:val="sing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bottom w:val="sing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850" w:type="dxa"/>
            <w:tcBorders>
              <w:bottom w:val="sing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bottom w:val="sing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single" w:sz="4" w:space="0" w:color="auto"/>
              <w:bottom w:val="sing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1913" w:type="dxa"/>
            <w:tcBorders>
              <w:bottom w:val="sing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1559" w:type="dxa"/>
            <w:tcBorders>
              <w:bottom w:val="single" w:sz="4" w:space="0" w:color="auto"/>
            </w:tcBorders>
          </w:tcPr>
          <w:p w:rsidR="00C16B5D" w:rsidRPr="001111BA" w:rsidRDefault="00C16B5D" w:rsidP="00C42CF6">
            <w:pPr>
              <w:pStyle w:val="lfej"/>
              <w:tabs>
                <w:tab w:val="clear" w:pos="4536"/>
                <w:tab w:val="clear" w:pos="9072"/>
                <w:tab w:val="left" w:pos="1080"/>
              </w:tabs>
              <w:jc w:val="right"/>
              <w:rPr>
                <w:bCs/>
              </w:rPr>
            </w:pPr>
          </w:p>
        </w:tc>
        <w:tc>
          <w:tcPr>
            <w:tcW w:w="1605" w:type="dxa"/>
            <w:tcBorders>
              <w:bottom w:val="sing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53" w:type="dxa"/>
            <w:tcBorders>
              <w:bottom w:val="single" w:sz="4" w:space="0" w:color="auto"/>
            </w:tcBorders>
          </w:tcPr>
          <w:p w:rsidR="00C16B5D" w:rsidRPr="001111BA" w:rsidRDefault="00C16B5D" w:rsidP="00C42CF6">
            <w:pPr>
              <w:pStyle w:val="lfej"/>
              <w:tabs>
                <w:tab w:val="clear" w:pos="4536"/>
                <w:tab w:val="clear" w:pos="9072"/>
                <w:tab w:val="left" w:pos="1080"/>
              </w:tabs>
              <w:jc w:val="right"/>
              <w:rPr>
                <w:bCs/>
              </w:rPr>
            </w:pPr>
          </w:p>
        </w:tc>
        <w:tc>
          <w:tcPr>
            <w:tcW w:w="709" w:type="dxa"/>
            <w:tcBorders>
              <w:bottom w:val="sing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bottom w:val="sing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850" w:type="dxa"/>
            <w:tcBorders>
              <w:bottom w:val="sing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bottom w:val="sing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single" w:sz="4" w:space="0" w:color="auto"/>
              <w:bottom w:val="sing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1913"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r w:rsidRPr="001111BA">
              <w:rPr>
                <w:b/>
                <w:bCs/>
              </w:rPr>
              <w:t>Összesen</w:t>
            </w:r>
          </w:p>
        </w:tc>
        <w:tc>
          <w:tcPr>
            <w:tcW w:w="155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right"/>
              <w:rPr>
                <w:b/>
                <w:bCs/>
              </w:rPr>
            </w:pPr>
          </w:p>
        </w:tc>
        <w:tc>
          <w:tcPr>
            <w:tcW w:w="1605"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53"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right"/>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850"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9516" w:type="dxa"/>
            <w:gridSpan w:val="9"/>
          </w:tcPr>
          <w:p w:rsidR="00C16B5D" w:rsidRPr="001111BA" w:rsidRDefault="00C16B5D" w:rsidP="00C42CF6">
            <w:pPr>
              <w:pStyle w:val="lfej"/>
              <w:tabs>
                <w:tab w:val="clear" w:pos="4536"/>
                <w:tab w:val="clear" w:pos="9072"/>
                <w:tab w:val="left" w:pos="1080"/>
              </w:tabs>
              <w:jc w:val="both"/>
              <w:rPr>
                <w:b/>
                <w:bCs/>
              </w:rPr>
            </w:pPr>
            <w:r w:rsidRPr="001111BA">
              <w:rPr>
                <w:b/>
                <w:bCs/>
              </w:rPr>
              <w:t>IV. Egyéb készítmények</w:t>
            </w:r>
          </w:p>
        </w:tc>
      </w:tr>
      <w:tr w:rsidR="00C16B5D" w:rsidRPr="001111BA" w:rsidTr="00C42CF6">
        <w:tc>
          <w:tcPr>
            <w:tcW w:w="1913" w:type="dxa"/>
          </w:tcPr>
          <w:p w:rsidR="00C16B5D" w:rsidRPr="001111BA" w:rsidRDefault="00C16B5D" w:rsidP="00C42CF6">
            <w:pPr>
              <w:pStyle w:val="lfej"/>
              <w:tabs>
                <w:tab w:val="clear" w:pos="4536"/>
                <w:tab w:val="clear" w:pos="9072"/>
                <w:tab w:val="left" w:pos="1080"/>
              </w:tabs>
              <w:jc w:val="both"/>
              <w:rPr>
                <w:b/>
                <w:bCs/>
              </w:rPr>
            </w:pPr>
          </w:p>
        </w:tc>
        <w:tc>
          <w:tcPr>
            <w:tcW w:w="1559" w:type="dxa"/>
          </w:tcPr>
          <w:p w:rsidR="00C16B5D" w:rsidRPr="001111BA" w:rsidRDefault="00C16B5D" w:rsidP="00C42CF6">
            <w:pPr>
              <w:pStyle w:val="lfej"/>
              <w:tabs>
                <w:tab w:val="clear" w:pos="4536"/>
                <w:tab w:val="clear" w:pos="9072"/>
                <w:tab w:val="left" w:pos="1080"/>
              </w:tabs>
              <w:jc w:val="right"/>
              <w:rPr>
                <w:bCs/>
              </w:rPr>
            </w:pPr>
          </w:p>
        </w:tc>
        <w:tc>
          <w:tcPr>
            <w:tcW w:w="1605" w:type="dxa"/>
          </w:tcPr>
          <w:p w:rsidR="00C16B5D" w:rsidRPr="001111BA" w:rsidRDefault="00C16B5D" w:rsidP="00C42CF6">
            <w:pPr>
              <w:pStyle w:val="lfej"/>
              <w:tabs>
                <w:tab w:val="clear" w:pos="4536"/>
                <w:tab w:val="clear" w:pos="9072"/>
                <w:tab w:val="left" w:pos="1080"/>
              </w:tabs>
              <w:jc w:val="right"/>
              <w:rPr>
                <w:bCs/>
              </w:rPr>
            </w:pPr>
          </w:p>
        </w:tc>
        <w:tc>
          <w:tcPr>
            <w:tcW w:w="753"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850"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Borders>
              <w:top w:val="single" w:sz="4" w:space="0" w:color="auto"/>
              <w:bottom w:val="sing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1913" w:type="dxa"/>
          </w:tcPr>
          <w:p w:rsidR="00C16B5D" w:rsidRPr="001111BA" w:rsidRDefault="00C16B5D" w:rsidP="00C42CF6">
            <w:pPr>
              <w:pStyle w:val="lfej"/>
              <w:tabs>
                <w:tab w:val="clear" w:pos="4536"/>
                <w:tab w:val="clear" w:pos="9072"/>
                <w:tab w:val="left" w:pos="1080"/>
              </w:tabs>
              <w:jc w:val="both"/>
              <w:rPr>
                <w:b/>
                <w:bCs/>
              </w:rPr>
            </w:pPr>
          </w:p>
        </w:tc>
        <w:tc>
          <w:tcPr>
            <w:tcW w:w="1559" w:type="dxa"/>
          </w:tcPr>
          <w:p w:rsidR="00C16B5D" w:rsidRPr="001111BA" w:rsidRDefault="00C16B5D" w:rsidP="00C42CF6">
            <w:pPr>
              <w:pStyle w:val="lfej"/>
              <w:tabs>
                <w:tab w:val="clear" w:pos="4536"/>
                <w:tab w:val="clear" w:pos="9072"/>
                <w:tab w:val="left" w:pos="1080"/>
              </w:tabs>
              <w:jc w:val="right"/>
              <w:rPr>
                <w:bCs/>
              </w:rPr>
            </w:pPr>
          </w:p>
        </w:tc>
        <w:tc>
          <w:tcPr>
            <w:tcW w:w="1605" w:type="dxa"/>
          </w:tcPr>
          <w:p w:rsidR="00C16B5D" w:rsidRPr="001111BA" w:rsidRDefault="00C16B5D" w:rsidP="00C42CF6">
            <w:pPr>
              <w:pStyle w:val="lfej"/>
              <w:tabs>
                <w:tab w:val="clear" w:pos="4536"/>
                <w:tab w:val="clear" w:pos="9072"/>
                <w:tab w:val="left" w:pos="1080"/>
              </w:tabs>
              <w:jc w:val="right"/>
              <w:rPr>
                <w:bCs/>
              </w:rPr>
            </w:pPr>
          </w:p>
        </w:tc>
        <w:tc>
          <w:tcPr>
            <w:tcW w:w="753"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850"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Borders>
              <w:top w:val="single" w:sz="4" w:space="0" w:color="auto"/>
              <w:bottom w:val="sing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1913"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r w:rsidRPr="001111BA">
              <w:rPr>
                <w:b/>
                <w:bCs/>
              </w:rPr>
              <w:t>Összesen</w:t>
            </w:r>
          </w:p>
        </w:tc>
        <w:tc>
          <w:tcPr>
            <w:tcW w:w="155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right"/>
              <w:rPr>
                <w:b/>
                <w:bCs/>
              </w:rPr>
            </w:pPr>
          </w:p>
        </w:tc>
        <w:tc>
          <w:tcPr>
            <w:tcW w:w="1605"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right"/>
              <w:rPr>
                <w:b/>
                <w:bCs/>
              </w:rPr>
            </w:pPr>
          </w:p>
        </w:tc>
        <w:tc>
          <w:tcPr>
            <w:tcW w:w="753"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850"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9516" w:type="dxa"/>
            <w:gridSpan w:val="9"/>
            <w:tcBorders>
              <w:top w:val="double" w:sz="4" w:space="0" w:color="auto"/>
            </w:tcBorders>
          </w:tcPr>
          <w:p w:rsidR="00C16B5D" w:rsidRPr="001111BA" w:rsidRDefault="00C16B5D" w:rsidP="00C42CF6">
            <w:pPr>
              <w:pStyle w:val="lfej"/>
              <w:tabs>
                <w:tab w:val="clear" w:pos="4536"/>
                <w:tab w:val="clear" w:pos="9072"/>
                <w:tab w:val="left" w:pos="1080"/>
              </w:tabs>
              <w:jc w:val="both"/>
              <w:rPr>
                <w:b/>
                <w:bCs/>
              </w:rPr>
            </w:pPr>
            <w:r w:rsidRPr="001111BA">
              <w:rPr>
                <w:b/>
                <w:bCs/>
              </w:rPr>
              <w:t>V. Csávázószerek</w:t>
            </w:r>
          </w:p>
        </w:tc>
      </w:tr>
      <w:tr w:rsidR="00C16B5D" w:rsidRPr="001111BA" w:rsidTr="00C42CF6">
        <w:tc>
          <w:tcPr>
            <w:tcW w:w="1913" w:type="dxa"/>
          </w:tcPr>
          <w:p w:rsidR="00C16B5D" w:rsidRPr="001111BA" w:rsidRDefault="00C16B5D" w:rsidP="00C42CF6">
            <w:pPr>
              <w:pStyle w:val="lfej"/>
              <w:tabs>
                <w:tab w:val="clear" w:pos="4536"/>
                <w:tab w:val="clear" w:pos="9072"/>
                <w:tab w:val="left" w:pos="1080"/>
              </w:tabs>
              <w:jc w:val="both"/>
              <w:rPr>
                <w:b/>
                <w:bCs/>
              </w:rPr>
            </w:pPr>
          </w:p>
        </w:tc>
        <w:tc>
          <w:tcPr>
            <w:tcW w:w="1559" w:type="dxa"/>
          </w:tcPr>
          <w:p w:rsidR="00C16B5D" w:rsidRPr="001111BA" w:rsidRDefault="00C16B5D" w:rsidP="00C42CF6">
            <w:pPr>
              <w:pStyle w:val="lfej"/>
              <w:tabs>
                <w:tab w:val="clear" w:pos="4536"/>
                <w:tab w:val="clear" w:pos="9072"/>
                <w:tab w:val="left" w:pos="1080"/>
              </w:tabs>
              <w:jc w:val="right"/>
              <w:rPr>
                <w:bCs/>
              </w:rPr>
            </w:pPr>
          </w:p>
        </w:tc>
        <w:tc>
          <w:tcPr>
            <w:tcW w:w="1605" w:type="dxa"/>
          </w:tcPr>
          <w:p w:rsidR="00C16B5D" w:rsidRPr="001111BA" w:rsidRDefault="00C16B5D" w:rsidP="00C42CF6">
            <w:pPr>
              <w:pStyle w:val="lfej"/>
              <w:tabs>
                <w:tab w:val="clear" w:pos="4536"/>
                <w:tab w:val="clear" w:pos="9072"/>
                <w:tab w:val="left" w:pos="1080"/>
              </w:tabs>
              <w:jc w:val="right"/>
              <w:rPr>
                <w:bCs/>
              </w:rPr>
            </w:pPr>
          </w:p>
        </w:tc>
        <w:tc>
          <w:tcPr>
            <w:tcW w:w="753"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850"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Borders>
              <w:top w:val="single" w:sz="4" w:space="0" w:color="auto"/>
              <w:bottom w:val="sing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1913" w:type="dxa"/>
          </w:tcPr>
          <w:p w:rsidR="00C16B5D" w:rsidRPr="001111BA" w:rsidRDefault="00C16B5D" w:rsidP="00C42CF6">
            <w:pPr>
              <w:pStyle w:val="lfej"/>
              <w:tabs>
                <w:tab w:val="clear" w:pos="4536"/>
                <w:tab w:val="clear" w:pos="9072"/>
                <w:tab w:val="left" w:pos="1080"/>
              </w:tabs>
              <w:jc w:val="both"/>
              <w:rPr>
                <w:b/>
                <w:bCs/>
              </w:rPr>
            </w:pPr>
          </w:p>
        </w:tc>
        <w:tc>
          <w:tcPr>
            <w:tcW w:w="1559" w:type="dxa"/>
          </w:tcPr>
          <w:p w:rsidR="00C16B5D" w:rsidRPr="001111BA" w:rsidRDefault="00C16B5D" w:rsidP="00C42CF6">
            <w:pPr>
              <w:pStyle w:val="lfej"/>
              <w:tabs>
                <w:tab w:val="clear" w:pos="4536"/>
                <w:tab w:val="clear" w:pos="9072"/>
                <w:tab w:val="left" w:pos="1080"/>
              </w:tabs>
              <w:jc w:val="right"/>
              <w:rPr>
                <w:bCs/>
              </w:rPr>
            </w:pPr>
          </w:p>
        </w:tc>
        <w:tc>
          <w:tcPr>
            <w:tcW w:w="1605" w:type="dxa"/>
          </w:tcPr>
          <w:p w:rsidR="00C16B5D" w:rsidRPr="001111BA" w:rsidRDefault="00C16B5D" w:rsidP="00C42CF6">
            <w:pPr>
              <w:pStyle w:val="lfej"/>
              <w:tabs>
                <w:tab w:val="clear" w:pos="4536"/>
                <w:tab w:val="clear" w:pos="9072"/>
                <w:tab w:val="left" w:pos="1080"/>
              </w:tabs>
              <w:jc w:val="right"/>
              <w:rPr>
                <w:bCs/>
              </w:rPr>
            </w:pPr>
          </w:p>
        </w:tc>
        <w:tc>
          <w:tcPr>
            <w:tcW w:w="753"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850"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Borders>
              <w:top w:val="single" w:sz="4" w:space="0" w:color="auto"/>
              <w:bottom w:val="sing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1913"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r w:rsidRPr="001111BA">
              <w:rPr>
                <w:b/>
                <w:bCs/>
              </w:rPr>
              <w:t>Összesen</w:t>
            </w:r>
          </w:p>
        </w:tc>
        <w:tc>
          <w:tcPr>
            <w:tcW w:w="155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right"/>
              <w:rPr>
                <w:b/>
                <w:bCs/>
              </w:rPr>
            </w:pPr>
          </w:p>
        </w:tc>
        <w:tc>
          <w:tcPr>
            <w:tcW w:w="1605"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right"/>
              <w:rPr>
                <w:b/>
                <w:bCs/>
              </w:rPr>
            </w:pPr>
          </w:p>
        </w:tc>
        <w:tc>
          <w:tcPr>
            <w:tcW w:w="753"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850"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9516" w:type="dxa"/>
            <w:gridSpan w:val="9"/>
            <w:tcBorders>
              <w:top w:val="double" w:sz="4" w:space="0" w:color="auto"/>
            </w:tcBorders>
          </w:tcPr>
          <w:p w:rsidR="00C16B5D" w:rsidRPr="001111BA" w:rsidRDefault="00C16B5D" w:rsidP="00C42CF6">
            <w:pPr>
              <w:pStyle w:val="lfej"/>
              <w:tabs>
                <w:tab w:val="clear" w:pos="4536"/>
                <w:tab w:val="clear" w:pos="9072"/>
                <w:tab w:val="left" w:pos="1080"/>
              </w:tabs>
              <w:jc w:val="both"/>
              <w:rPr>
                <w:b/>
                <w:bCs/>
              </w:rPr>
            </w:pPr>
            <w:r w:rsidRPr="001111BA">
              <w:rPr>
                <w:b/>
                <w:bCs/>
              </w:rPr>
              <w:t>VI. Talajfertőtlenítő szerek</w:t>
            </w:r>
          </w:p>
        </w:tc>
      </w:tr>
      <w:tr w:rsidR="00C16B5D" w:rsidRPr="001111BA" w:rsidTr="00C42CF6">
        <w:tc>
          <w:tcPr>
            <w:tcW w:w="1913" w:type="dxa"/>
          </w:tcPr>
          <w:p w:rsidR="00C16B5D" w:rsidRPr="001111BA" w:rsidRDefault="00C16B5D" w:rsidP="00C42CF6">
            <w:pPr>
              <w:pStyle w:val="lfej"/>
              <w:tabs>
                <w:tab w:val="clear" w:pos="4536"/>
                <w:tab w:val="clear" w:pos="9072"/>
                <w:tab w:val="left" w:pos="1080"/>
              </w:tabs>
              <w:jc w:val="both"/>
              <w:rPr>
                <w:b/>
                <w:bCs/>
              </w:rPr>
            </w:pPr>
          </w:p>
        </w:tc>
        <w:tc>
          <w:tcPr>
            <w:tcW w:w="1559" w:type="dxa"/>
          </w:tcPr>
          <w:p w:rsidR="00C16B5D" w:rsidRPr="001111BA" w:rsidRDefault="00C16B5D" w:rsidP="00C42CF6">
            <w:pPr>
              <w:pStyle w:val="lfej"/>
              <w:tabs>
                <w:tab w:val="clear" w:pos="4536"/>
                <w:tab w:val="clear" w:pos="9072"/>
                <w:tab w:val="left" w:pos="1080"/>
              </w:tabs>
              <w:jc w:val="right"/>
              <w:rPr>
                <w:bCs/>
              </w:rPr>
            </w:pPr>
          </w:p>
        </w:tc>
        <w:tc>
          <w:tcPr>
            <w:tcW w:w="1605" w:type="dxa"/>
          </w:tcPr>
          <w:p w:rsidR="00C16B5D" w:rsidRPr="001111BA" w:rsidRDefault="00C16B5D" w:rsidP="00C42CF6">
            <w:pPr>
              <w:pStyle w:val="lfej"/>
              <w:tabs>
                <w:tab w:val="clear" w:pos="4536"/>
                <w:tab w:val="clear" w:pos="9072"/>
                <w:tab w:val="left" w:pos="1080"/>
              </w:tabs>
              <w:jc w:val="right"/>
              <w:rPr>
                <w:bCs/>
              </w:rPr>
            </w:pPr>
          </w:p>
        </w:tc>
        <w:tc>
          <w:tcPr>
            <w:tcW w:w="753"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850"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Borders>
              <w:top w:val="single" w:sz="4" w:space="0" w:color="auto"/>
              <w:bottom w:val="sing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1913" w:type="dxa"/>
          </w:tcPr>
          <w:p w:rsidR="00C16B5D" w:rsidRPr="001111BA" w:rsidRDefault="00C16B5D" w:rsidP="00C42CF6">
            <w:pPr>
              <w:pStyle w:val="lfej"/>
              <w:tabs>
                <w:tab w:val="clear" w:pos="4536"/>
                <w:tab w:val="clear" w:pos="9072"/>
                <w:tab w:val="left" w:pos="1080"/>
              </w:tabs>
              <w:jc w:val="both"/>
              <w:rPr>
                <w:b/>
                <w:bCs/>
              </w:rPr>
            </w:pPr>
          </w:p>
        </w:tc>
        <w:tc>
          <w:tcPr>
            <w:tcW w:w="1559" w:type="dxa"/>
          </w:tcPr>
          <w:p w:rsidR="00C16B5D" w:rsidRPr="001111BA" w:rsidRDefault="00C16B5D" w:rsidP="00C42CF6">
            <w:pPr>
              <w:pStyle w:val="lfej"/>
              <w:tabs>
                <w:tab w:val="clear" w:pos="4536"/>
                <w:tab w:val="clear" w:pos="9072"/>
                <w:tab w:val="left" w:pos="1080"/>
              </w:tabs>
              <w:jc w:val="right"/>
              <w:rPr>
                <w:bCs/>
              </w:rPr>
            </w:pPr>
          </w:p>
        </w:tc>
        <w:tc>
          <w:tcPr>
            <w:tcW w:w="1605" w:type="dxa"/>
          </w:tcPr>
          <w:p w:rsidR="00C16B5D" w:rsidRPr="001111BA" w:rsidRDefault="00C16B5D" w:rsidP="00C42CF6">
            <w:pPr>
              <w:pStyle w:val="lfej"/>
              <w:tabs>
                <w:tab w:val="clear" w:pos="4536"/>
                <w:tab w:val="clear" w:pos="9072"/>
                <w:tab w:val="left" w:pos="1080"/>
              </w:tabs>
              <w:jc w:val="right"/>
              <w:rPr>
                <w:bCs/>
              </w:rPr>
            </w:pPr>
          </w:p>
        </w:tc>
        <w:tc>
          <w:tcPr>
            <w:tcW w:w="753"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850"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Borders>
              <w:top w:val="single" w:sz="4" w:space="0" w:color="auto"/>
              <w:bottom w:val="sing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1913"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r w:rsidRPr="001111BA">
              <w:rPr>
                <w:b/>
                <w:bCs/>
              </w:rPr>
              <w:t>Összesen</w:t>
            </w:r>
          </w:p>
        </w:tc>
        <w:tc>
          <w:tcPr>
            <w:tcW w:w="155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right"/>
              <w:rPr>
                <w:b/>
                <w:bCs/>
              </w:rPr>
            </w:pPr>
          </w:p>
        </w:tc>
        <w:tc>
          <w:tcPr>
            <w:tcW w:w="1605"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right"/>
              <w:rPr>
                <w:b/>
                <w:bCs/>
              </w:rPr>
            </w:pPr>
          </w:p>
        </w:tc>
        <w:tc>
          <w:tcPr>
            <w:tcW w:w="753"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850"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9516" w:type="dxa"/>
            <w:gridSpan w:val="9"/>
            <w:tcBorders>
              <w:top w:val="double" w:sz="4" w:space="0" w:color="auto"/>
            </w:tcBorders>
          </w:tcPr>
          <w:p w:rsidR="00C16B5D" w:rsidRPr="001111BA" w:rsidRDefault="00C16B5D" w:rsidP="00C42CF6">
            <w:pPr>
              <w:pStyle w:val="lfej"/>
              <w:tabs>
                <w:tab w:val="clear" w:pos="4536"/>
                <w:tab w:val="clear" w:pos="9072"/>
                <w:tab w:val="left" w:pos="1080"/>
              </w:tabs>
              <w:jc w:val="both"/>
              <w:rPr>
                <w:b/>
                <w:bCs/>
              </w:rPr>
            </w:pPr>
            <w:r w:rsidRPr="001111BA">
              <w:rPr>
                <w:b/>
                <w:bCs/>
              </w:rPr>
              <w:t>VII. Gázosító szerek</w:t>
            </w:r>
          </w:p>
        </w:tc>
      </w:tr>
      <w:tr w:rsidR="00C16B5D" w:rsidRPr="001111BA" w:rsidTr="00C42CF6">
        <w:tc>
          <w:tcPr>
            <w:tcW w:w="1913" w:type="dxa"/>
          </w:tcPr>
          <w:p w:rsidR="00C16B5D" w:rsidRPr="001111BA" w:rsidRDefault="00C16B5D" w:rsidP="00C42CF6">
            <w:pPr>
              <w:pStyle w:val="lfej"/>
              <w:tabs>
                <w:tab w:val="clear" w:pos="4536"/>
                <w:tab w:val="clear" w:pos="9072"/>
                <w:tab w:val="left" w:pos="1080"/>
              </w:tabs>
              <w:jc w:val="both"/>
              <w:rPr>
                <w:b/>
                <w:bCs/>
              </w:rPr>
            </w:pPr>
          </w:p>
        </w:tc>
        <w:tc>
          <w:tcPr>
            <w:tcW w:w="1559" w:type="dxa"/>
          </w:tcPr>
          <w:p w:rsidR="00C16B5D" w:rsidRPr="001111BA" w:rsidRDefault="00C16B5D" w:rsidP="00C42CF6">
            <w:pPr>
              <w:pStyle w:val="lfej"/>
              <w:tabs>
                <w:tab w:val="clear" w:pos="4536"/>
                <w:tab w:val="clear" w:pos="9072"/>
                <w:tab w:val="left" w:pos="1080"/>
              </w:tabs>
              <w:jc w:val="right"/>
              <w:rPr>
                <w:bCs/>
              </w:rPr>
            </w:pPr>
          </w:p>
        </w:tc>
        <w:tc>
          <w:tcPr>
            <w:tcW w:w="1605" w:type="dxa"/>
          </w:tcPr>
          <w:p w:rsidR="00C16B5D" w:rsidRPr="001111BA" w:rsidRDefault="00C16B5D" w:rsidP="00C42CF6">
            <w:pPr>
              <w:pStyle w:val="lfej"/>
              <w:tabs>
                <w:tab w:val="clear" w:pos="4536"/>
                <w:tab w:val="clear" w:pos="9072"/>
                <w:tab w:val="left" w:pos="1080"/>
              </w:tabs>
              <w:jc w:val="right"/>
              <w:rPr>
                <w:bCs/>
              </w:rPr>
            </w:pPr>
          </w:p>
        </w:tc>
        <w:tc>
          <w:tcPr>
            <w:tcW w:w="753"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850"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Borders>
              <w:top w:val="single" w:sz="4" w:space="0" w:color="auto"/>
              <w:bottom w:val="sing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1913" w:type="dxa"/>
          </w:tcPr>
          <w:p w:rsidR="00C16B5D" w:rsidRPr="001111BA" w:rsidRDefault="00C16B5D" w:rsidP="00C42CF6">
            <w:pPr>
              <w:pStyle w:val="lfej"/>
              <w:tabs>
                <w:tab w:val="clear" w:pos="4536"/>
                <w:tab w:val="clear" w:pos="9072"/>
                <w:tab w:val="left" w:pos="1080"/>
              </w:tabs>
              <w:jc w:val="both"/>
              <w:rPr>
                <w:b/>
                <w:bCs/>
              </w:rPr>
            </w:pPr>
          </w:p>
        </w:tc>
        <w:tc>
          <w:tcPr>
            <w:tcW w:w="1559" w:type="dxa"/>
          </w:tcPr>
          <w:p w:rsidR="00C16B5D" w:rsidRPr="001111BA" w:rsidRDefault="00C16B5D" w:rsidP="00C42CF6">
            <w:pPr>
              <w:pStyle w:val="lfej"/>
              <w:tabs>
                <w:tab w:val="clear" w:pos="4536"/>
                <w:tab w:val="clear" w:pos="9072"/>
                <w:tab w:val="left" w:pos="1080"/>
              </w:tabs>
              <w:jc w:val="right"/>
              <w:rPr>
                <w:bCs/>
              </w:rPr>
            </w:pPr>
          </w:p>
        </w:tc>
        <w:tc>
          <w:tcPr>
            <w:tcW w:w="1605" w:type="dxa"/>
          </w:tcPr>
          <w:p w:rsidR="00C16B5D" w:rsidRPr="001111BA" w:rsidRDefault="00C16B5D" w:rsidP="00C42CF6">
            <w:pPr>
              <w:pStyle w:val="lfej"/>
              <w:tabs>
                <w:tab w:val="clear" w:pos="4536"/>
                <w:tab w:val="clear" w:pos="9072"/>
                <w:tab w:val="left" w:pos="1080"/>
              </w:tabs>
              <w:jc w:val="right"/>
              <w:rPr>
                <w:bCs/>
              </w:rPr>
            </w:pPr>
          </w:p>
        </w:tc>
        <w:tc>
          <w:tcPr>
            <w:tcW w:w="753"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850" w:type="dxa"/>
          </w:tcPr>
          <w:p w:rsidR="00C16B5D" w:rsidRPr="001111BA" w:rsidRDefault="00C16B5D" w:rsidP="00C42CF6">
            <w:pPr>
              <w:pStyle w:val="lfej"/>
              <w:tabs>
                <w:tab w:val="clear" w:pos="4536"/>
                <w:tab w:val="clear" w:pos="9072"/>
                <w:tab w:val="left" w:pos="1080"/>
              </w:tabs>
              <w:jc w:val="both"/>
              <w:rPr>
                <w:b/>
                <w:bCs/>
              </w:rPr>
            </w:pPr>
          </w:p>
        </w:tc>
        <w:tc>
          <w:tcPr>
            <w:tcW w:w="709" w:type="dxa"/>
          </w:tcPr>
          <w:p w:rsidR="00C16B5D" w:rsidRPr="001111BA" w:rsidRDefault="00C16B5D" w:rsidP="00C42CF6">
            <w:pPr>
              <w:pStyle w:val="lfej"/>
              <w:tabs>
                <w:tab w:val="clear" w:pos="4536"/>
                <w:tab w:val="clear" w:pos="9072"/>
                <w:tab w:val="left" w:pos="1080"/>
              </w:tabs>
              <w:jc w:val="both"/>
              <w:rPr>
                <w:b/>
                <w:bCs/>
              </w:rPr>
            </w:pPr>
          </w:p>
        </w:tc>
        <w:tc>
          <w:tcPr>
            <w:tcW w:w="709" w:type="dxa"/>
            <w:tcBorders>
              <w:top w:val="single" w:sz="4" w:space="0" w:color="auto"/>
              <w:bottom w:val="sing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1913"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r w:rsidRPr="001111BA">
              <w:rPr>
                <w:b/>
                <w:bCs/>
              </w:rPr>
              <w:t>Összesen</w:t>
            </w:r>
          </w:p>
        </w:tc>
        <w:tc>
          <w:tcPr>
            <w:tcW w:w="155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right"/>
              <w:rPr>
                <w:b/>
                <w:bCs/>
              </w:rPr>
            </w:pPr>
          </w:p>
        </w:tc>
        <w:tc>
          <w:tcPr>
            <w:tcW w:w="1605"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right"/>
              <w:rPr>
                <w:b/>
                <w:bCs/>
              </w:rPr>
            </w:pPr>
          </w:p>
        </w:tc>
        <w:tc>
          <w:tcPr>
            <w:tcW w:w="753"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850"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r w:rsidR="00C16B5D" w:rsidRPr="001111BA" w:rsidTr="00C42CF6">
        <w:tc>
          <w:tcPr>
            <w:tcW w:w="1913" w:type="dxa"/>
            <w:tcBorders>
              <w:top w:val="double" w:sz="4" w:space="0" w:color="auto"/>
            </w:tcBorders>
          </w:tcPr>
          <w:p w:rsidR="00C16B5D" w:rsidRPr="001111BA" w:rsidRDefault="00C16B5D" w:rsidP="00C42CF6">
            <w:pPr>
              <w:pStyle w:val="lfej"/>
              <w:tabs>
                <w:tab w:val="clear" w:pos="4536"/>
                <w:tab w:val="clear" w:pos="9072"/>
                <w:tab w:val="left" w:pos="1080"/>
              </w:tabs>
              <w:jc w:val="both"/>
              <w:rPr>
                <w:b/>
                <w:bCs/>
              </w:rPr>
            </w:pPr>
            <w:r w:rsidRPr="001111BA">
              <w:rPr>
                <w:b/>
                <w:bCs/>
              </w:rPr>
              <w:t>Mindösszesen</w:t>
            </w:r>
          </w:p>
        </w:tc>
        <w:tc>
          <w:tcPr>
            <w:tcW w:w="1559" w:type="dxa"/>
            <w:tcBorders>
              <w:top w:val="double" w:sz="4" w:space="0" w:color="auto"/>
            </w:tcBorders>
          </w:tcPr>
          <w:p w:rsidR="00C16B5D" w:rsidRPr="001111BA" w:rsidRDefault="00C16B5D" w:rsidP="00C42CF6">
            <w:pPr>
              <w:pStyle w:val="lfej"/>
              <w:tabs>
                <w:tab w:val="clear" w:pos="4536"/>
                <w:tab w:val="clear" w:pos="9072"/>
                <w:tab w:val="left" w:pos="1080"/>
              </w:tabs>
              <w:jc w:val="right"/>
              <w:rPr>
                <w:b/>
                <w:bCs/>
              </w:rPr>
            </w:pPr>
          </w:p>
        </w:tc>
        <w:tc>
          <w:tcPr>
            <w:tcW w:w="1605" w:type="dxa"/>
            <w:tcBorders>
              <w:top w:val="double" w:sz="4" w:space="0" w:color="auto"/>
            </w:tcBorders>
          </w:tcPr>
          <w:p w:rsidR="00C16B5D" w:rsidRPr="001111BA" w:rsidRDefault="00C16B5D" w:rsidP="00C42CF6">
            <w:pPr>
              <w:pStyle w:val="lfej"/>
              <w:tabs>
                <w:tab w:val="clear" w:pos="4536"/>
                <w:tab w:val="clear" w:pos="9072"/>
                <w:tab w:val="left" w:pos="1080"/>
              </w:tabs>
              <w:jc w:val="right"/>
              <w:rPr>
                <w:b/>
                <w:bCs/>
              </w:rPr>
            </w:pPr>
          </w:p>
        </w:tc>
        <w:tc>
          <w:tcPr>
            <w:tcW w:w="753" w:type="dxa"/>
            <w:tcBorders>
              <w:top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850" w:type="dxa"/>
            <w:tcBorders>
              <w:top w:val="double" w:sz="4" w:space="0" w:color="auto"/>
            </w:tcBorders>
          </w:tcPr>
          <w:p w:rsidR="00C16B5D" w:rsidRPr="001111BA" w:rsidRDefault="00C16B5D" w:rsidP="00C42CF6">
            <w:pPr>
              <w:pStyle w:val="lfej"/>
              <w:tabs>
                <w:tab w:val="clear" w:pos="4536"/>
                <w:tab w:val="clear" w:pos="9072"/>
                <w:tab w:val="left" w:pos="1080"/>
              </w:tabs>
              <w:jc w:val="right"/>
              <w:rPr>
                <w:bCs/>
              </w:rPr>
            </w:pPr>
          </w:p>
        </w:tc>
        <w:tc>
          <w:tcPr>
            <w:tcW w:w="709" w:type="dxa"/>
            <w:tcBorders>
              <w:top w:val="double" w:sz="4" w:space="0" w:color="auto"/>
            </w:tcBorders>
          </w:tcPr>
          <w:p w:rsidR="00C16B5D" w:rsidRPr="001111BA" w:rsidRDefault="00C16B5D" w:rsidP="00C42CF6">
            <w:pPr>
              <w:pStyle w:val="lfej"/>
              <w:tabs>
                <w:tab w:val="clear" w:pos="4536"/>
                <w:tab w:val="clear" w:pos="9072"/>
                <w:tab w:val="left" w:pos="1080"/>
              </w:tabs>
              <w:jc w:val="both"/>
              <w:rPr>
                <w:b/>
                <w:bCs/>
              </w:rPr>
            </w:pPr>
          </w:p>
        </w:tc>
        <w:tc>
          <w:tcPr>
            <w:tcW w:w="709" w:type="dxa"/>
            <w:tcBorders>
              <w:top w:val="double" w:sz="4" w:space="0" w:color="auto"/>
              <w:bottom w:val="double" w:sz="4" w:space="0" w:color="auto"/>
            </w:tcBorders>
            <w:shd w:val="clear" w:color="auto" w:fill="auto"/>
          </w:tcPr>
          <w:p w:rsidR="00C16B5D" w:rsidRPr="001111BA" w:rsidRDefault="00C16B5D" w:rsidP="00C42CF6">
            <w:pPr>
              <w:pStyle w:val="lfej"/>
              <w:tabs>
                <w:tab w:val="clear" w:pos="4536"/>
                <w:tab w:val="clear" w:pos="9072"/>
                <w:tab w:val="left" w:pos="1080"/>
              </w:tabs>
              <w:jc w:val="both"/>
              <w:rPr>
                <w:b/>
                <w:bCs/>
              </w:rPr>
            </w:pPr>
          </w:p>
        </w:tc>
      </w:tr>
    </w:tbl>
    <w:p w:rsidR="00C16B5D" w:rsidRPr="001111BA" w:rsidRDefault="00C16B5D" w:rsidP="00C16B5D">
      <w:pPr>
        <w:pStyle w:val="lfej"/>
        <w:tabs>
          <w:tab w:val="clear" w:pos="4536"/>
          <w:tab w:val="clear" w:pos="9072"/>
          <w:tab w:val="left" w:pos="1080"/>
        </w:tabs>
        <w:jc w:val="both"/>
      </w:pPr>
      <w:r w:rsidRPr="001111BA">
        <w:t xml:space="preserve">Dátum: 2016. </w:t>
      </w:r>
    </w:p>
    <w:p w:rsidR="00C16B5D" w:rsidRPr="001111BA" w:rsidRDefault="00C16B5D" w:rsidP="00C16B5D">
      <w:pPr>
        <w:pStyle w:val="lfej"/>
        <w:tabs>
          <w:tab w:val="clear" w:pos="4536"/>
          <w:tab w:val="clear" w:pos="9072"/>
          <w:tab w:val="left" w:pos="1080"/>
        </w:tabs>
        <w:jc w:val="both"/>
      </w:pPr>
    </w:p>
    <w:p w:rsidR="00C16B5D" w:rsidRPr="001111BA" w:rsidRDefault="00C16B5D" w:rsidP="00C16B5D">
      <w:pPr>
        <w:pStyle w:val="lfej"/>
        <w:tabs>
          <w:tab w:val="clear" w:pos="4536"/>
          <w:tab w:val="clear" w:pos="9072"/>
          <w:tab w:val="left" w:pos="1080"/>
        </w:tabs>
        <w:jc w:val="both"/>
      </w:pPr>
      <w:r w:rsidRPr="001111BA">
        <w:tab/>
      </w:r>
      <w:r w:rsidRPr="001111BA">
        <w:tab/>
      </w:r>
      <w:r w:rsidRPr="001111BA">
        <w:tab/>
      </w:r>
      <w:r w:rsidRPr="001111BA">
        <w:tab/>
      </w:r>
      <w:r w:rsidRPr="001111BA">
        <w:tab/>
      </w:r>
      <w:r w:rsidRPr="001111BA">
        <w:tab/>
        <w:t xml:space="preserve">                       ………………………….</w:t>
      </w:r>
    </w:p>
    <w:p w:rsidR="00C16B5D" w:rsidRPr="001111BA" w:rsidRDefault="00C16B5D" w:rsidP="00C16B5D">
      <w:r w:rsidRPr="001111BA">
        <w:rPr>
          <w:i/>
        </w:rPr>
        <w:t xml:space="preserve">                                   P.H.</w:t>
      </w:r>
      <w:r w:rsidRPr="001111BA">
        <w:tab/>
      </w:r>
      <w:r w:rsidRPr="001111BA">
        <w:tab/>
      </w:r>
      <w:r w:rsidRPr="001111BA">
        <w:tab/>
      </w:r>
      <w:r w:rsidRPr="001111BA">
        <w:tab/>
      </w:r>
      <w:r w:rsidRPr="001111BA">
        <w:tab/>
      </w:r>
      <w:r w:rsidRPr="001111BA">
        <w:tab/>
        <w:t xml:space="preserve">    aláírás</w:t>
      </w:r>
    </w:p>
    <w:p w:rsidR="00C16B5D" w:rsidRPr="001111BA" w:rsidRDefault="00C16B5D" w:rsidP="00C16B5D">
      <w:pPr>
        <w:jc w:val="both"/>
        <w:rPr>
          <w:color w:val="000000"/>
          <w:highlight w:val="yellow"/>
        </w:rPr>
      </w:pPr>
    </w:p>
    <w:p w:rsidR="008174FE" w:rsidRPr="001111BA" w:rsidRDefault="008174FE" w:rsidP="008174FE"/>
    <w:sectPr w:rsidR="008174FE" w:rsidRPr="001111BA" w:rsidSect="00D37C3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8323BE4"/>
    <w:lvl w:ilvl="0">
      <w:start w:val="1"/>
      <w:numFmt w:val="bullet"/>
      <w:pStyle w:val="Felsorols"/>
      <w:lvlText w:val=""/>
      <w:lvlJc w:val="left"/>
      <w:pPr>
        <w:tabs>
          <w:tab w:val="num" w:pos="360"/>
        </w:tabs>
        <w:ind w:left="360" w:hanging="360"/>
      </w:pPr>
      <w:rPr>
        <w:rFonts w:ascii="Symbol" w:hAnsi="Symbol" w:hint="default"/>
      </w:rPr>
    </w:lvl>
  </w:abstractNum>
  <w:abstractNum w:abstractNumId="1">
    <w:nsid w:val="003C2936"/>
    <w:multiLevelType w:val="hybridMultilevel"/>
    <w:tmpl w:val="AC4C7438"/>
    <w:lvl w:ilvl="0" w:tplc="516AA83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8EB472E"/>
    <w:multiLevelType w:val="hybridMultilevel"/>
    <w:tmpl w:val="E14EFE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C1F337A"/>
    <w:multiLevelType w:val="hybridMultilevel"/>
    <w:tmpl w:val="97BC900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13A37E96"/>
    <w:multiLevelType w:val="hybridMultilevel"/>
    <w:tmpl w:val="4606B720"/>
    <w:lvl w:ilvl="0" w:tplc="040E000F">
      <w:start w:val="1"/>
      <w:numFmt w:val="decimal"/>
      <w:lvlText w:val="%1."/>
      <w:lvlJc w:val="left"/>
      <w:pPr>
        <w:ind w:left="2190" w:hanging="360"/>
      </w:pPr>
    </w:lvl>
    <w:lvl w:ilvl="1" w:tplc="040E0019" w:tentative="1">
      <w:start w:val="1"/>
      <w:numFmt w:val="lowerLetter"/>
      <w:lvlText w:val="%2."/>
      <w:lvlJc w:val="left"/>
      <w:pPr>
        <w:ind w:left="2910" w:hanging="360"/>
      </w:pPr>
    </w:lvl>
    <w:lvl w:ilvl="2" w:tplc="040E001B" w:tentative="1">
      <w:start w:val="1"/>
      <w:numFmt w:val="lowerRoman"/>
      <w:lvlText w:val="%3."/>
      <w:lvlJc w:val="right"/>
      <w:pPr>
        <w:ind w:left="3630" w:hanging="180"/>
      </w:pPr>
    </w:lvl>
    <w:lvl w:ilvl="3" w:tplc="040E000F" w:tentative="1">
      <w:start w:val="1"/>
      <w:numFmt w:val="decimal"/>
      <w:lvlText w:val="%4."/>
      <w:lvlJc w:val="left"/>
      <w:pPr>
        <w:ind w:left="4350" w:hanging="360"/>
      </w:pPr>
    </w:lvl>
    <w:lvl w:ilvl="4" w:tplc="040E0019" w:tentative="1">
      <w:start w:val="1"/>
      <w:numFmt w:val="lowerLetter"/>
      <w:lvlText w:val="%5."/>
      <w:lvlJc w:val="left"/>
      <w:pPr>
        <w:ind w:left="5070" w:hanging="360"/>
      </w:pPr>
    </w:lvl>
    <w:lvl w:ilvl="5" w:tplc="040E001B" w:tentative="1">
      <w:start w:val="1"/>
      <w:numFmt w:val="lowerRoman"/>
      <w:lvlText w:val="%6."/>
      <w:lvlJc w:val="right"/>
      <w:pPr>
        <w:ind w:left="5790" w:hanging="180"/>
      </w:pPr>
    </w:lvl>
    <w:lvl w:ilvl="6" w:tplc="040E000F" w:tentative="1">
      <w:start w:val="1"/>
      <w:numFmt w:val="decimal"/>
      <w:lvlText w:val="%7."/>
      <w:lvlJc w:val="left"/>
      <w:pPr>
        <w:ind w:left="6510" w:hanging="360"/>
      </w:pPr>
    </w:lvl>
    <w:lvl w:ilvl="7" w:tplc="040E0019" w:tentative="1">
      <w:start w:val="1"/>
      <w:numFmt w:val="lowerLetter"/>
      <w:lvlText w:val="%8."/>
      <w:lvlJc w:val="left"/>
      <w:pPr>
        <w:ind w:left="7230" w:hanging="360"/>
      </w:pPr>
    </w:lvl>
    <w:lvl w:ilvl="8" w:tplc="040E001B" w:tentative="1">
      <w:start w:val="1"/>
      <w:numFmt w:val="lowerRoman"/>
      <w:lvlText w:val="%9."/>
      <w:lvlJc w:val="right"/>
      <w:pPr>
        <w:ind w:left="7950" w:hanging="180"/>
      </w:pPr>
    </w:lvl>
  </w:abstractNum>
  <w:abstractNum w:abstractNumId="5">
    <w:nsid w:val="18E37929"/>
    <w:multiLevelType w:val="hybridMultilevel"/>
    <w:tmpl w:val="F27632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1894C6E"/>
    <w:multiLevelType w:val="hybridMultilevel"/>
    <w:tmpl w:val="DA662E14"/>
    <w:lvl w:ilvl="0" w:tplc="DCA2E97E">
      <w:start w:val="1"/>
      <w:numFmt w:val="decimal"/>
      <w:lvlText w:val="%1."/>
      <w:lvlJc w:val="left"/>
      <w:pPr>
        <w:tabs>
          <w:tab w:val="num" w:pos="1440"/>
        </w:tabs>
        <w:ind w:left="144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27D49C6"/>
    <w:multiLevelType w:val="hybridMultilevel"/>
    <w:tmpl w:val="1E364A74"/>
    <w:lvl w:ilvl="0" w:tplc="69D0AAD4">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42B2CE8"/>
    <w:multiLevelType w:val="hybridMultilevel"/>
    <w:tmpl w:val="ADBA56EE"/>
    <w:lvl w:ilvl="0" w:tplc="E7FC41AC">
      <w:start w:val="9"/>
      <w:numFmt w:val="decimal"/>
      <w:lvlText w:val="%1."/>
      <w:lvlJc w:val="left"/>
      <w:pPr>
        <w:ind w:left="1440" w:hanging="360"/>
      </w:pPr>
      <w:rPr>
        <w:rFonts w:hint="default"/>
        <w:b w:val="0"/>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2979373F"/>
    <w:multiLevelType w:val="hybridMultilevel"/>
    <w:tmpl w:val="3EFA47C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2A4A0A0A"/>
    <w:multiLevelType w:val="hybridMultilevel"/>
    <w:tmpl w:val="EBC0D264"/>
    <w:lvl w:ilvl="0" w:tplc="F410C9DE">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B075FB5"/>
    <w:multiLevelType w:val="hybridMultilevel"/>
    <w:tmpl w:val="FDE0FDD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BA46319"/>
    <w:multiLevelType w:val="hybridMultilevel"/>
    <w:tmpl w:val="15DAA43C"/>
    <w:lvl w:ilvl="0" w:tplc="E7FC41AC">
      <w:start w:val="9"/>
      <w:numFmt w:val="decimal"/>
      <w:lvlText w:val="%1."/>
      <w:lvlJc w:val="left"/>
      <w:pPr>
        <w:ind w:left="144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D2646D4"/>
    <w:multiLevelType w:val="multilevel"/>
    <w:tmpl w:val="F9361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A24F44"/>
    <w:multiLevelType w:val="hybridMultilevel"/>
    <w:tmpl w:val="96A0FE06"/>
    <w:lvl w:ilvl="0" w:tplc="73062616">
      <w:start w:val="1"/>
      <w:numFmt w:val="upperRoman"/>
      <w:lvlText w:val="%1."/>
      <w:lvlJc w:val="left"/>
      <w:pPr>
        <w:ind w:left="1080" w:hanging="720"/>
      </w:pPr>
      <w:rPr>
        <w:rFonts w:hint="default"/>
        <w:i w:val="0"/>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2E6D4427"/>
    <w:multiLevelType w:val="hybridMultilevel"/>
    <w:tmpl w:val="3F70FF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17E710F"/>
    <w:multiLevelType w:val="multilevel"/>
    <w:tmpl w:val="5DA8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AA5253"/>
    <w:multiLevelType w:val="hybridMultilevel"/>
    <w:tmpl w:val="60E490D4"/>
    <w:lvl w:ilvl="0" w:tplc="94C4ABEC">
      <w:start w:val="1"/>
      <w:numFmt w:val="decimal"/>
      <w:lvlText w:val="%1."/>
      <w:lvlJc w:val="left"/>
      <w:pPr>
        <w:ind w:left="720" w:hanging="360"/>
      </w:pPr>
      <w:rPr>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2C825C8"/>
    <w:multiLevelType w:val="hybridMultilevel"/>
    <w:tmpl w:val="44DE6F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963130E"/>
    <w:multiLevelType w:val="hybridMultilevel"/>
    <w:tmpl w:val="42DC5A50"/>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nsid w:val="4A044B85"/>
    <w:multiLevelType w:val="hybridMultilevel"/>
    <w:tmpl w:val="081C577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A5729A8"/>
    <w:multiLevelType w:val="hybridMultilevel"/>
    <w:tmpl w:val="B6263FC2"/>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CD37E55"/>
    <w:multiLevelType w:val="hybridMultilevel"/>
    <w:tmpl w:val="B6263FC2"/>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DC96C4D"/>
    <w:multiLevelType w:val="hybridMultilevel"/>
    <w:tmpl w:val="E1728B42"/>
    <w:lvl w:ilvl="0" w:tplc="E3CA5B16">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53FC1FA5"/>
    <w:multiLevelType w:val="multilevel"/>
    <w:tmpl w:val="6C26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0C6091"/>
    <w:multiLevelType w:val="hybridMultilevel"/>
    <w:tmpl w:val="96A0FE06"/>
    <w:lvl w:ilvl="0" w:tplc="73062616">
      <w:start w:val="1"/>
      <w:numFmt w:val="upperRoman"/>
      <w:lvlText w:val="%1."/>
      <w:lvlJc w:val="left"/>
      <w:pPr>
        <w:ind w:left="1080" w:hanging="720"/>
      </w:pPr>
      <w:rPr>
        <w:rFonts w:hint="default"/>
        <w:i w:val="0"/>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B5B0E71"/>
    <w:multiLevelType w:val="hybridMultilevel"/>
    <w:tmpl w:val="BE92777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5D857AA4"/>
    <w:multiLevelType w:val="hybridMultilevel"/>
    <w:tmpl w:val="B6263FC2"/>
    <w:lvl w:ilvl="0" w:tplc="040E000F">
      <w:start w:val="1"/>
      <w:numFmt w:val="decimal"/>
      <w:lvlText w:val="%1."/>
      <w:lvlJc w:val="left"/>
      <w:pPr>
        <w:ind w:left="720" w:hanging="360"/>
      </w:pPr>
      <w:rPr>
        <w:rFonts w:hint="default"/>
        <w:i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ECC7182"/>
    <w:multiLevelType w:val="hybridMultilevel"/>
    <w:tmpl w:val="00C01422"/>
    <w:lvl w:ilvl="0" w:tplc="040E000F">
      <w:start w:val="1"/>
      <w:numFmt w:val="decimal"/>
      <w:lvlText w:val="%1."/>
      <w:lvlJc w:val="left"/>
      <w:pPr>
        <w:ind w:left="720" w:hanging="360"/>
      </w:pPr>
    </w:lvl>
    <w:lvl w:ilvl="1" w:tplc="DCA2E97E">
      <w:start w:val="1"/>
      <w:numFmt w:val="decimal"/>
      <w:lvlText w:val="%2."/>
      <w:lvlJc w:val="left"/>
      <w:pPr>
        <w:tabs>
          <w:tab w:val="num" w:pos="1440"/>
        </w:tabs>
        <w:ind w:left="1440" w:hanging="360"/>
      </w:pPr>
      <w:rPr>
        <w:rFonts w:ascii="Times New Roman" w:hAnsi="Times New Roman" w:cs="Times New Roman"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nsid w:val="69C3213A"/>
    <w:multiLevelType w:val="hybridMultilevel"/>
    <w:tmpl w:val="B8C276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29B7109"/>
    <w:multiLevelType w:val="multilevel"/>
    <w:tmpl w:val="8FBC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EA42EB"/>
    <w:multiLevelType w:val="hybridMultilevel"/>
    <w:tmpl w:val="09D2221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77287BDA"/>
    <w:multiLevelType w:val="hybridMultilevel"/>
    <w:tmpl w:val="97BC9002"/>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3">
    <w:nsid w:val="777935EF"/>
    <w:multiLevelType w:val="hybridMultilevel"/>
    <w:tmpl w:val="C5562FC2"/>
    <w:lvl w:ilvl="0" w:tplc="040E0001">
      <w:start w:val="1"/>
      <w:numFmt w:val="bullet"/>
      <w:lvlText w:val=""/>
      <w:lvlJc w:val="left"/>
      <w:pPr>
        <w:ind w:left="900" w:hanging="360"/>
      </w:pPr>
      <w:rPr>
        <w:rFonts w:ascii="Symbol" w:hAnsi="Symbo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34">
    <w:nsid w:val="795F7FFB"/>
    <w:multiLevelType w:val="hybridMultilevel"/>
    <w:tmpl w:val="A8CAF7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0"/>
  </w:num>
  <w:num w:numId="3">
    <w:abstractNumId w:val="4"/>
  </w:num>
  <w:num w:numId="4">
    <w:abstractNumId w:val="14"/>
  </w:num>
  <w:num w:numId="5">
    <w:abstractNumId w:val="27"/>
  </w:num>
  <w:num w:numId="6">
    <w:abstractNumId w:val="25"/>
  </w:num>
  <w:num w:numId="7">
    <w:abstractNumId w:val="34"/>
  </w:num>
  <w:num w:numId="8">
    <w:abstractNumId w:val="17"/>
  </w:num>
  <w:num w:numId="9">
    <w:abstractNumId w:val="22"/>
  </w:num>
  <w:num w:numId="10">
    <w:abstractNumId w:val="21"/>
  </w:num>
  <w:num w:numId="11">
    <w:abstractNumId w:val="23"/>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32"/>
  </w:num>
  <w:num w:numId="16">
    <w:abstractNumId w:val="31"/>
  </w:num>
  <w:num w:numId="17">
    <w:abstractNumId w:val="8"/>
  </w:num>
  <w:num w:numId="18">
    <w:abstractNumId w:val="12"/>
  </w:num>
  <w:num w:numId="19">
    <w:abstractNumId w:val="3"/>
  </w:num>
  <w:num w:numId="20">
    <w:abstractNumId w:val="7"/>
  </w:num>
  <w:num w:numId="21">
    <w:abstractNumId w:val="18"/>
  </w:num>
  <w:num w:numId="22">
    <w:abstractNumId w:val="26"/>
  </w:num>
  <w:num w:numId="23">
    <w:abstractNumId w:val="19"/>
  </w:num>
  <w:num w:numId="24">
    <w:abstractNumId w:val="33"/>
  </w:num>
  <w:num w:numId="25">
    <w:abstractNumId w:val="5"/>
  </w:num>
  <w:num w:numId="26">
    <w:abstractNumId w:val="20"/>
  </w:num>
  <w:num w:numId="27">
    <w:abstractNumId w:val="11"/>
  </w:num>
  <w:num w:numId="28">
    <w:abstractNumId w:val="29"/>
  </w:num>
  <w:num w:numId="29">
    <w:abstractNumId w:val="9"/>
  </w:num>
  <w:num w:numId="30">
    <w:abstractNumId w:val="24"/>
  </w:num>
  <w:num w:numId="31">
    <w:abstractNumId w:val="16"/>
  </w:num>
  <w:num w:numId="32">
    <w:abstractNumId w:val="13"/>
  </w:num>
  <w:num w:numId="33">
    <w:abstractNumId w:val="30"/>
  </w:num>
  <w:num w:numId="34">
    <w:abstractNumId w:val="28"/>
  </w:num>
  <w:num w:numId="35">
    <w:abstractNumId w:val="6"/>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EC3D88"/>
    <w:rsid w:val="00000D59"/>
    <w:rsid w:val="00003158"/>
    <w:rsid w:val="0002018D"/>
    <w:rsid w:val="00024F76"/>
    <w:rsid w:val="00027D03"/>
    <w:rsid w:val="00033CE6"/>
    <w:rsid w:val="00035EF0"/>
    <w:rsid w:val="000436F6"/>
    <w:rsid w:val="0004473B"/>
    <w:rsid w:val="000450F5"/>
    <w:rsid w:val="0005375E"/>
    <w:rsid w:val="000611A4"/>
    <w:rsid w:val="00061D43"/>
    <w:rsid w:val="000629E1"/>
    <w:rsid w:val="00063464"/>
    <w:rsid w:val="00063E3D"/>
    <w:rsid w:val="000640C2"/>
    <w:rsid w:val="00066B10"/>
    <w:rsid w:val="0007398C"/>
    <w:rsid w:val="00075F22"/>
    <w:rsid w:val="00082497"/>
    <w:rsid w:val="000829EF"/>
    <w:rsid w:val="000832CD"/>
    <w:rsid w:val="000A06BF"/>
    <w:rsid w:val="000A0F35"/>
    <w:rsid w:val="000A53D0"/>
    <w:rsid w:val="000B609B"/>
    <w:rsid w:val="000B64AB"/>
    <w:rsid w:val="000C6EB4"/>
    <w:rsid w:val="000D4FE5"/>
    <w:rsid w:val="000E174E"/>
    <w:rsid w:val="000F6504"/>
    <w:rsid w:val="001076ED"/>
    <w:rsid w:val="001111BA"/>
    <w:rsid w:val="00115E06"/>
    <w:rsid w:val="00115FBC"/>
    <w:rsid w:val="00116EB2"/>
    <w:rsid w:val="00123C8E"/>
    <w:rsid w:val="001264E0"/>
    <w:rsid w:val="001337B6"/>
    <w:rsid w:val="00135B88"/>
    <w:rsid w:val="00141380"/>
    <w:rsid w:val="00141474"/>
    <w:rsid w:val="00153F43"/>
    <w:rsid w:val="00165A3A"/>
    <w:rsid w:val="00172F82"/>
    <w:rsid w:val="00173CCF"/>
    <w:rsid w:val="00174A53"/>
    <w:rsid w:val="00176C42"/>
    <w:rsid w:val="00177C36"/>
    <w:rsid w:val="00182EA0"/>
    <w:rsid w:val="00192D4D"/>
    <w:rsid w:val="0019777E"/>
    <w:rsid w:val="001A0DF1"/>
    <w:rsid w:val="001A10F0"/>
    <w:rsid w:val="001A59A8"/>
    <w:rsid w:val="001A66DE"/>
    <w:rsid w:val="001B3A60"/>
    <w:rsid w:val="001B4B54"/>
    <w:rsid w:val="001C1DA7"/>
    <w:rsid w:val="001C7B52"/>
    <w:rsid w:val="001D57B5"/>
    <w:rsid w:val="001D5E13"/>
    <w:rsid w:val="001E33A5"/>
    <w:rsid w:val="001E45D2"/>
    <w:rsid w:val="001E4F47"/>
    <w:rsid w:val="001F6065"/>
    <w:rsid w:val="00217772"/>
    <w:rsid w:val="00217F5D"/>
    <w:rsid w:val="0022329D"/>
    <w:rsid w:val="00232824"/>
    <w:rsid w:val="00233C46"/>
    <w:rsid w:val="00241043"/>
    <w:rsid w:val="00245A29"/>
    <w:rsid w:val="00247C02"/>
    <w:rsid w:val="0025127F"/>
    <w:rsid w:val="00256A18"/>
    <w:rsid w:val="002610C1"/>
    <w:rsid w:val="00266F2A"/>
    <w:rsid w:val="002804E5"/>
    <w:rsid w:val="002832B0"/>
    <w:rsid w:val="00283402"/>
    <w:rsid w:val="00292B79"/>
    <w:rsid w:val="00293CDD"/>
    <w:rsid w:val="00295BE7"/>
    <w:rsid w:val="00295D1B"/>
    <w:rsid w:val="002A1415"/>
    <w:rsid w:val="002C2C25"/>
    <w:rsid w:val="002C3E54"/>
    <w:rsid w:val="002C505E"/>
    <w:rsid w:val="002C52F3"/>
    <w:rsid w:val="002E6A0D"/>
    <w:rsid w:val="002F0FCC"/>
    <w:rsid w:val="002F3918"/>
    <w:rsid w:val="002F49B0"/>
    <w:rsid w:val="00307E09"/>
    <w:rsid w:val="00311480"/>
    <w:rsid w:val="00334E92"/>
    <w:rsid w:val="00335B00"/>
    <w:rsid w:val="00335D96"/>
    <w:rsid w:val="0034060A"/>
    <w:rsid w:val="003473C8"/>
    <w:rsid w:val="00352D41"/>
    <w:rsid w:val="003541F4"/>
    <w:rsid w:val="003613CD"/>
    <w:rsid w:val="00363927"/>
    <w:rsid w:val="003641A8"/>
    <w:rsid w:val="003732D6"/>
    <w:rsid w:val="0037724E"/>
    <w:rsid w:val="00377BA0"/>
    <w:rsid w:val="00383747"/>
    <w:rsid w:val="0038459C"/>
    <w:rsid w:val="00385022"/>
    <w:rsid w:val="0039031A"/>
    <w:rsid w:val="003930A8"/>
    <w:rsid w:val="003A60F9"/>
    <w:rsid w:val="003A69C7"/>
    <w:rsid w:val="003B1528"/>
    <w:rsid w:val="003B3C23"/>
    <w:rsid w:val="003C0948"/>
    <w:rsid w:val="003D2530"/>
    <w:rsid w:val="003D2822"/>
    <w:rsid w:val="003D4552"/>
    <w:rsid w:val="003D747D"/>
    <w:rsid w:val="003E321D"/>
    <w:rsid w:val="003F485E"/>
    <w:rsid w:val="0040152F"/>
    <w:rsid w:val="0040611E"/>
    <w:rsid w:val="00417DAC"/>
    <w:rsid w:val="004261B9"/>
    <w:rsid w:val="00427368"/>
    <w:rsid w:val="00431ED7"/>
    <w:rsid w:val="00434206"/>
    <w:rsid w:val="00434D27"/>
    <w:rsid w:val="00436C02"/>
    <w:rsid w:val="00452FF4"/>
    <w:rsid w:val="00454679"/>
    <w:rsid w:val="0045480A"/>
    <w:rsid w:val="004622E5"/>
    <w:rsid w:val="004744BD"/>
    <w:rsid w:val="00475FFC"/>
    <w:rsid w:val="00481362"/>
    <w:rsid w:val="00490D95"/>
    <w:rsid w:val="00491237"/>
    <w:rsid w:val="00491A9F"/>
    <w:rsid w:val="00493EFC"/>
    <w:rsid w:val="004968CA"/>
    <w:rsid w:val="004A119C"/>
    <w:rsid w:val="004A651B"/>
    <w:rsid w:val="004A7ED5"/>
    <w:rsid w:val="004B1A62"/>
    <w:rsid w:val="004B4176"/>
    <w:rsid w:val="004B5797"/>
    <w:rsid w:val="004B67C8"/>
    <w:rsid w:val="004B6829"/>
    <w:rsid w:val="004C1F15"/>
    <w:rsid w:val="004C391B"/>
    <w:rsid w:val="004C3BF6"/>
    <w:rsid w:val="004C5E4B"/>
    <w:rsid w:val="004D0745"/>
    <w:rsid w:val="004D3B93"/>
    <w:rsid w:val="004D57FC"/>
    <w:rsid w:val="004D7AAB"/>
    <w:rsid w:val="004D7EF1"/>
    <w:rsid w:val="004F146C"/>
    <w:rsid w:val="005036AA"/>
    <w:rsid w:val="00512D54"/>
    <w:rsid w:val="00513936"/>
    <w:rsid w:val="00525042"/>
    <w:rsid w:val="00525C45"/>
    <w:rsid w:val="005316B4"/>
    <w:rsid w:val="00534851"/>
    <w:rsid w:val="0053600F"/>
    <w:rsid w:val="005365D6"/>
    <w:rsid w:val="00540E5D"/>
    <w:rsid w:val="00541F75"/>
    <w:rsid w:val="00546930"/>
    <w:rsid w:val="005510AC"/>
    <w:rsid w:val="00554C28"/>
    <w:rsid w:val="00557DEE"/>
    <w:rsid w:val="00565B38"/>
    <w:rsid w:val="00565BA5"/>
    <w:rsid w:val="00565F8E"/>
    <w:rsid w:val="005678A1"/>
    <w:rsid w:val="0057326A"/>
    <w:rsid w:val="00574B8D"/>
    <w:rsid w:val="00585CDD"/>
    <w:rsid w:val="0059715B"/>
    <w:rsid w:val="005A58EB"/>
    <w:rsid w:val="005A7294"/>
    <w:rsid w:val="005B3E8E"/>
    <w:rsid w:val="005B4287"/>
    <w:rsid w:val="005B50CD"/>
    <w:rsid w:val="005B6DD1"/>
    <w:rsid w:val="005C03D5"/>
    <w:rsid w:val="005C72C2"/>
    <w:rsid w:val="005D0BBE"/>
    <w:rsid w:val="005D4CF3"/>
    <w:rsid w:val="005E02EF"/>
    <w:rsid w:val="005E0663"/>
    <w:rsid w:val="005E5246"/>
    <w:rsid w:val="005E6C82"/>
    <w:rsid w:val="005F3029"/>
    <w:rsid w:val="005F5AD9"/>
    <w:rsid w:val="006400D7"/>
    <w:rsid w:val="00642F79"/>
    <w:rsid w:val="006445CA"/>
    <w:rsid w:val="006456F9"/>
    <w:rsid w:val="00647F9E"/>
    <w:rsid w:val="00656C99"/>
    <w:rsid w:val="00657B2F"/>
    <w:rsid w:val="00657B6A"/>
    <w:rsid w:val="00660862"/>
    <w:rsid w:val="00663294"/>
    <w:rsid w:val="00663B31"/>
    <w:rsid w:val="00664E31"/>
    <w:rsid w:val="006657A6"/>
    <w:rsid w:val="00670F3D"/>
    <w:rsid w:val="00675569"/>
    <w:rsid w:val="0067678C"/>
    <w:rsid w:val="006770CF"/>
    <w:rsid w:val="00681135"/>
    <w:rsid w:val="00695832"/>
    <w:rsid w:val="00696F22"/>
    <w:rsid w:val="006A0D1B"/>
    <w:rsid w:val="006A611A"/>
    <w:rsid w:val="006B2217"/>
    <w:rsid w:val="006B3FE6"/>
    <w:rsid w:val="006C3436"/>
    <w:rsid w:val="006C3467"/>
    <w:rsid w:val="006D01F1"/>
    <w:rsid w:val="006D1AF7"/>
    <w:rsid w:val="006D206C"/>
    <w:rsid w:val="006D3CB0"/>
    <w:rsid w:val="006D54A3"/>
    <w:rsid w:val="006D7BF9"/>
    <w:rsid w:val="006E000D"/>
    <w:rsid w:val="006E442C"/>
    <w:rsid w:val="006F4ECC"/>
    <w:rsid w:val="006F5403"/>
    <w:rsid w:val="006F6CC6"/>
    <w:rsid w:val="006F6F24"/>
    <w:rsid w:val="00704B44"/>
    <w:rsid w:val="0070797D"/>
    <w:rsid w:val="007230ED"/>
    <w:rsid w:val="00723350"/>
    <w:rsid w:val="00724221"/>
    <w:rsid w:val="00726138"/>
    <w:rsid w:val="00730155"/>
    <w:rsid w:val="00766944"/>
    <w:rsid w:val="00766ECB"/>
    <w:rsid w:val="0077192F"/>
    <w:rsid w:val="00771C3C"/>
    <w:rsid w:val="00771E28"/>
    <w:rsid w:val="007761BA"/>
    <w:rsid w:val="00783F20"/>
    <w:rsid w:val="0078735B"/>
    <w:rsid w:val="00790B4B"/>
    <w:rsid w:val="00792534"/>
    <w:rsid w:val="00795855"/>
    <w:rsid w:val="007B048B"/>
    <w:rsid w:val="007B055C"/>
    <w:rsid w:val="007B1201"/>
    <w:rsid w:val="007B3F6F"/>
    <w:rsid w:val="007B7667"/>
    <w:rsid w:val="007C0BFB"/>
    <w:rsid w:val="007C1466"/>
    <w:rsid w:val="007C251D"/>
    <w:rsid w:val="007C72BA"/>
    <w:rsid w:val="007C740B"/>
    <w:rsid w:val="007D153B"/>
    <w:rsid w:val="007D1855"/>
    <w:rsid w:val="007D7660"/>
    <w:rsid w:val="007F06EF"/>
    <w:rsid w:val="007F3362"/>
    <w:rsid w:val="007F75BD"/>
    <w:rsid w:val="00806278"/>
    <w:rsid w:val="00816B32"/>
    <w:rsid w:val="008174FE"/>
    <w:rsid w:val="00820F48"/>
    <w:rsid w:val="008222BE"/>
    <w:rsid w:val="0082261B"/>
    <w:rsid w:val="00825223"/>
    <w:rsid w:val="008303C5"/>
    <w:rsid w:val="00832236"/>
    <w:rsid w:val="00832EF0"/>
    <w:rsid w:val="008349EB"/>
    <w:rsid w:val="00843D92"/>
    <w:rsid w:val="00850C52"/>
    <w:rsid w:val="0085156C"/>
    <w:rsid w:val="00865804"/>
    <w:rsid w:val="008713BB"/>
    <w:rsid w:val="008802C8"/>
    <w:rsid w:val="00880725"/>
    <w:rsid w:val="00882993"/>
    <w:rsid w:val="008944BC"/>
    <w:rsid w:val="008961AE"/>
    <w:rsid w:val="008B2194"/>
    <w:rsid w:val="008B24D9"/>
    <w:rsid w:val="008B3907"/>
    <w:rsid w:val="008B637D"/>
    <w:rsid w:val="008C0067"/>
    <w:rsid w:val="008C02C9"/>
    <w:rsid w:val="008C37DE"/>
    <w:rsid w:val="008C3808"/>
    <w:rsid w:val="008C57A3"/>
    <w:rsid w:val="008C6A25"/>
    <w:rsid w:val="008D085F"/>
    <w:rsid w:val="008D2683"/>
    <w:rsid w:val="008D2A1E"/>
    <w:rsid w:val="008D2B8A"/>
    <w:rsid w:val="008D2BF9"/>
    <w:rsid w:val="008D5A23"/>
    <w:rsid w:val="008E4E5B"/>
    <w:rsid w:val="008F0761"/>
    <w:rsid w:val="008F36CD"/>
    <w:rsid w:val="008F45DA"/>
    <w:rsid w:val="0090512E"/>
    <w:rsid w:val="00910148"/>
    <w:rsid w:val="00920424"/>
    <w:rsid w:val="00922149"/>
    <w:rsid w:val="00931036"/>
    <w:rsid w:val="0093450F"/>
    <w:rsid w:val="00950931"/>
    <w:rsid w:val="00954858"/>
    <w:rsid w:val="00960711"/>
    <w:rsid w:val="00963963"/>
    <w:rsid w:val="00971C5C"/>
    <w:rsid w:val="00973A4B"/>
    <w:rsid w:val="00974217"/>
    <w:rsid w:val="009765C3"/>
    <w:rsid w:val="009847A1"/>
    <w:rsid w:val="00985011"/>
    <w:rsid w:val="00990AF5"/>
    <w:rsid w:val="00994D78"/>
    <w:rsid w:val="009950FE"/>
    <w:rsid w:val="00995BE3"/>
    <w:rsid w:val="009A2033"/>
    <w:rsid w:val="009A5ACA"/>
    <w:rsid w:val="009B10FB"/>
    <w:rsid w:val="009B6D44"/>
    <w:rsid w:val="009C004E"/>
    <w:rsid w:val="009C1915"/>
    <w:rsid w:val="009C37CA"/>
    <w:rsid w:val="009C4E44"/>
    <w:rsid w:val="009D2699"/>
    <w:rsid w:val="009D31EC"/>
    <w:rsid w:val="009D3D08"/>
    <w:rsid w:val="009D5CA0"/>
    <w:rsid w:val="009E27E0"/>
    <w:rsid w:val="009E63A9"/>
    <w:rsid w:val="009E6A57"/>
    <w:rsid w:val="009F02DA"/>
    <w:rsid w:val="009F1518"/>
    <w:rsid w:val="009F516B"/>
    <w:rsid w:val="009F6DAC"/>
    <w:rsid w:val="00A01E8E"/>
    <w:rsid w:val="00A042B4"/>
    <w:rsid w:val="00A0519C"/>
    <w:rsid w:val="00A07A9A"/>
    <w:rsid w:val="00A1043E"/>
    <w:rsid w:val="00A10876"/>
    <w:rsid w:val="00A13648"/>
    <w:rsid w:val="00A169B7"/>
    <w:rsid w:val="00A16F9D"/>
    <w:rsid w:val="00A2269E"/>
    <w:rsid w:val="00A24E57"/>
    <w:rsid w:val="00A275E6"/>
    <w:rsid w:val="00A30466"/>
    <w:rsid w:val="00A3137A"/>
    <w:rsid w:val="00A32380"/>
    <w:rsid w:val="00A34885"/>
    <w:rsid w:val="00A42A56"/>
    <w:rsid w:val="00A43788"/>
    <w:rsid w:val="00A43B58"/>
    <w:rsid w:val="00A52EE8"/>
    <w:rsid w:val="00A53F4B"/>
    <w:rsid w:val="00A5448F"/>
    <w:rsid w:val="00A5623F"/>
    <w:rsid w:val="00A6240F"/>
    <w:rsid w:val="00A67CD2"/>
    <w:rsid w:val="00A71099"/>
    <w:rsid w:val="00A84DAC"/>
    <w:rsid w:val="00A867DA"/>
    <w:rsid w:val="00A92BA8"/>
    <w:rsid w:val="00A95C8F"/>
    <w:rsid w:val="00AA32A4"/>
    <w:rsid w:val="00AB0879"/>
    <w:rsid w:val="00AB274E"/>
    <w:rsid w:val="00AB6EC4"/>
    <w:rsid w:val="00AB6F2C"/>
    <w:rsid w:val="00AC6667"/>
    <w:rsid w:val="00AD1957"/>
    <w:rsid w:val="00AD1AF1"/>
    <w:rsid w:val="00AD52DE"/>
    <w:rsid w:val="00AE2756"/>
    <w:rsid w:val="00AE59D5"/>
    <w:rsid w:val="00AE5AB2"/>
    <w:rsid w:val="00AE78FD"/>
    <w:rsid w:val="00AF2159"/>
    <w:rsid w:val="00AF4CC4"/>
    <w:rsid w:val="00AF5CD4"/>
    <w:rsid w:val="00B04B6A"/>
    <w:rsid w:val="00B05D02"/>
    <w:rsid w:val="00B078DD"/>
    <w:rsid w:val="00B118BC"/>
    <w:rsid w:val="00B12EA9"/>
    <w:rsid w:val="00B14682"/>
    <w:rsid w:val="00B1722C"/>
    <w:rsid w:val="00B20516"/>
    <w:rsid w:val="00B214A7"/>
    <w:rsid w:val="00B2320F"/>
    <w:rsid w:val="00B35F5C"/>
    <w:rsid w:val="00B432BA"/>
    <w:rsid w:val="00B44723"/>
    <w:rsid w:val="00B50687"/>
    <w:rsid w:val="00B50A35"/>
    <w:rsid w:val="00B52EEB"/>
    <w:rsid w:val="00B56EC2"/>
    <w:rsid w:val="00B63C02"/>
    <w:rsid w:val="00B64A31"/>
    <w:rsid w:val="00B65D44"/>
    <w:rsid w:val="00B67E7F"/>
    <w:rsid w:val="00B74C48"/>
    <w:rsid w:val="00B8013A"/>
    <w:rsid w:val="00B81E29"/>
    <w:rsid w:val="00B85F19"/>
    <w:rsid w:val="00B901C0"/>
    <w:rsid w:val="00B95E6A"/>
    <w:rsid w:val="00B972D5"/>
    <w:rsid w:val="00BA0EC7"/>
    <w:rsid w:val="00BA3872"/>
    <w:rsid w:val="00BB126F"/>
    <w:rsid w:val="00BB7872"/>
    <w:rsid w:val="00BC279D"/>
    <w:rsid w:val="00BD15C7"/>
    <w:rsid w:val="00BF51CA"/>
    <w:rsid w:val="00C0532D"/>
    <w:rsid w:val="00C077A7"/>
    <w:rsid w:val="00C110ED"/>
    <w:rsid w:val="00C12D7B"/>
    <w:rsid w:val="00C161E1"/>
    <w:rsid w:val="00C16B5D"/>
    <w:rsid w:val="00C21FA4"/>
    <w:rsid w:val="00C26DA5"/>
    <w:rsid w:val="00C277D6"/>
    <w:rsid w:val="00C2789B"/>
    <w:rsid w:val="00C27D17"/>
    <w:rsid w:val="00C33201"/>
    <w:rsid w:val="00C359E9"/>
    <w:rsid w:val="00C42CF6"/>
    <w:rsid w:val="00C5042D"/>
    <w:rsid w:val="00C52032"/>
    <w:rsid w:val="00C524D5"/>
    <w:rsid w:val="00C52A11"/>
    <w:rsid w:val="00C570B1"/>
    <w:rsid w:val="00C61643"/>
    <w:rsid w:val="00C62C8F"/>
    <w:rsid w:val="00C65741"/>
    <w:rsid w:val="00C66091"/>
    <w:rsid w:val="00C67EB5"/>
    <w:rsid w:val="00C704A3"/>
    <w:rsid w:val="00C714C8"/>
    <w:rsid w:val="00C736E2"/>
    <w:rsid w:val="00C73F5D"/>
    <w:rsid w:val="00C77C7D"/>
    <w:rsid w:val="00C80019"/>
    <w:rsid w:val="00C81217"/>
    <w:rsid w:val="00C91BCE"/>
    <w:rsid w:val="00C95EFF"/>
    <w:rsid w:val="00C97731"/>
    <w:rsid w:val="00CA01F1"/>
    <w:rsid w:val="00CB3418"/>
    <w:rsid w:val="00CB51E4"/>
    <w:rsid w:val="00CB570C"/>
    <w:rsid w:val="00CB5C43"/>
    <w:rsid w:val="00CB5EA7"/>
    <w:rsid w:val="00CB792B"/>
    <w:rsid w:val="00CD4F79"/>
    <w:rsid w:val="00CD5548"/>
    <w:rsid w:val="00CF770F"/>
    <w:rsid w:val="00D203DE"/>
    <w:rsid w:val="00D3055F"/>
    <w:rsid w:val="00D332AC"/>
    <w:rsid w:val="00D33505"/>
    <w:rsid w:val="00D377B9"/>
    <w:rsid w:val="00D37C37"/>
    <w:rsid w:val="00D37E93"/>
    <w:rsid w:val="00D47372"/>
    <w:rsid w:val="00D62007"/>
    <w:rsid w:val="00D65278"/>
    <w:rsid w:val="00D66529"/>
    <w:rsid w:val="00D6671E"/>
    <w:rsid w:val="00D716BD"/>
    <w:rsid w:val="00D73715"/>
    <w:rsid w:val="00D75757"/>
    <w:rsid w:val="00D76A3B"/>
    <w:rsid w:val="00D844C8"/>
    <w:rsid w:val="00D91192"/>
    <w:rsid w:val="00D91D5E"/>
    <w:rsid w:val="00D952B4"/>
    <w:rsid w:val="00D96E93"/>
    <w:rsid w:val="00DA095E"/>
    <w:rsid w:val="00DA0F36"/>
    <w:rsid w:val="00DA2C56"/>
    <w:rsid w:val="00DA3EF9"/>
    <w:rsid w:val="00DA6CB9"/>
    <w:rsid w:val="00DC48C5"/>
    <w:rsid w:val="00DD3745"/>
    <w:rsid w:val="00DE665A"/>
    <w:rsid w:val="00DF542D"/>
    <w:rsid w:val="00E04E17"/>
    <w:rsid w:val="00E0569F"/>
    <w:rsid w:val="00E072CE"/>
    <w:rsid w:val="00E31E34"/>
    <w:rsid w:val="00E32728"/>
    <w:rsid w:val="00E329C8"/>
    <w:rsid w:val="00E33935"/>
    <w:rsid w:val="00E42E1A"/>
    <w:rsid w:val="00E4678C"/>
    <w:rsid w:val="00E507D5"/>
    <w:rsid w:val="00E55C31"/>
    <w:rsid w:val="00E56210"/>
    <w:rsid w:val="00E604F7"/>
    <w:rsid w:val="00E71106"/>
    <w:rsid w:val="00E77A3C"/>
    <w:rsid w:val="00E8341F"/>
    <w:rsid w:val="00E83749"/>
    <w:rsid w:val="00E837A5"/>
    <w:rsid w:val="00E83EEC"/>
    <w:rsid w:val="00E906F9"/>
    <w:rsid w:val="00EA02BC"/>
    <w:rsid w:val="00EA14C3"/>
    <w:rsid w:val="00EA339A"/>
    <w:rsid w:val="00EC3D88"/>
    <w:rsid w:val="00EC65D3"/>
    <w:rsid w:val="00EC7BD2"/>
    <w:rsid w:val="00EC7ED1"/>
    <w:rsid w:val="00EC7FD5"/>
    <w:rsid w:val="00ED0011"/>
    <w:rsid w:val="00ED1220"/>
    <w:rsid w:val="00EE009B"/>
    <w:rsid w:val="00EE0DCD"/>
    <w:rsid w:val="00EE52F3"/>
    <w:rsid w:val="00EE7D24"/>
    <w:rsid w:val="00EF2DA5"/>
    <w:rsid w:val="00F0692C"/>
    <w:rsid w:val="00F06F3D"/>
    <w:rsid w:val="00F116CC"/>
    <w:rsid w:val="00F144C7"/>
    <w:rsid w:val="00F14974"/>
    <w:rsid w:val="00F15F2E"/>
    <w:rsid w:val="00F2165E"/>
    <w:rsid w:val="00F21D14"/>
    <w:rsid w:val="00F21FE2"/>
    <w:rsid w:val="00F22474"/>
    <w:rsid w:val="00F229EB"/>
    <w:rsid w:val="00F24762"/>
    <w:rsid w:val="00F33355"/>
    <w:rsid w:val="00F37DEE"/>
    <w:rsid w:val="00F41723"/>
    <w:rsid w:val="00F54332"/>
    <w:rsid w:val="00F67984"/>
    <w:rsid w:val="00F7115B"/>
    <w:rsid w:val="00F76A8D"/>
    <w:rsid w:val="00F773E3"/>
    <w:rsid w:val="00FA49C5"/>
    <w:rsid w:val="00FA7CDB"/>
    <w:rsid w:val="00FB4A64"/>
    <w:rsid w:val="00FB5583"/>
    <w:rsid w:val="00FB7C6C"/>
    <w:rsid w:val="00FC6028"/>
    <w:rsid w:val="00FD00BC"/>
    <w:rsid w:val="00FD0C6B"/>
    <w:rsid w:val="00FD7D24"/>
    <w:rsid w:val="00FE5900"/>
    <w:rsid w:val="00FE60F2"/>
    <w:rsid w:val="00FF3BA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C3D88"/>
    <w:rPr>
      <w:rFonts w:ascii="Times New Roman" w:eastAsia="Times New Roman" w:hAnsi="Times New Roman"/>
      <w:sz w:val="24"/>
      <w:szCs w:val="24"/>
    </w:rPr>
  </w:style>
  <w:style w:type="paragraph" w:styleId="Cmsor1">
    <w:name w:val="heading 1"/>
    <w:basedOn w:val="Norml"/>
    <w:next w:val="Norml"/>
    <w:link w:val="Cmsor1Char"/>
    <w:uiPriority w:val="99"/>
    <w:qFormat/>
    <w:rsid w:val="00656C99"/>
    <w:pPr>
      <w:keepNext/>
      <w:overflowPunct w:val="0"/>
      <w:autoSpaceDE w:val="0"/>
      <w:autoSpaceDN w:val="0"/>
      <w:adjustRightInd w:val="0"/>
      <w:jc w:val="center"/>
      <w:outlineLvl w:val="0"/>
    </w:pPr>
    <w:rPr>
      <w:b/>
      <w:szCs w:val="20"/>
    </w:rPr>
  </w:style>
  <w:style w:type="paragraph" w:styleId="Cmsor2">
    <w:name w:val="heading 2"/>
    <w:basedOn w:val="Norml"/>
    <w:next w:val="Norml"/>
    <w:link w:val="Cmsor2Char"/>
    <w:uiPriority w:val="99"/>
    <w:unhideWhenUsed/>
    <w:qFormat/>
    <w:rsid w:val="00656C99"/>
    <w:pPr>
      <w:keepNext/>
      <w:overflowPunct w:val="0"/>
      <w:autoSpaceDE w:val="0"/>
      <w:autoSpaceDN w:val="0"/>
      <w:adjustRightInd w:val="0"/>
      <w:jc w:val="center"/>
      <w:outlineLvl w:val="1"/>
    </w:pPr>
    <w:rPr>
      <w:b/>
      <w:sz w:val="28"/>
      <w:szCs w:val="20"/>
    </w:rPr>
  </w:style>
  <w:style w:type="paragraph" w:styleId="Cmsor3">
    <w:name w:val="heading 3"/>
    <w:basedOn w:val="Norml"/>
    <w:next w:val="Norml"/>
    <w:link w:val="Cmsor3Char"/>
    <w:uiPriority w:val="99"/>
    <w:qFormat/>
    <w:rsid w:val="00E31E34"/>
    <w:pPr>
      <w:keepNext/>
      <w:tabs>
        <w:tab w:val="num" w:pos="720"/>
        <w:tab w:val="num" w:pos="2160"/>
      </w:tabs>
      <w:spacing w:before="240" w:after="60"/>
      <w:ind w:left="720" w:hanging="720"/>
      <w:outlineLvl w:val="2"/>
    </w:pPr>
    <w:rPr>
      <w:rFonts w:ascii="Arial" w:hAnsi="Arial" w:cs="Arial"/>
      <w:b/>
      <w:bCs/>
      <w:sz w:val="26"/>
      <w:szCs w:val="26"/>
      <w:lang w:eastAsia="el-GR"/>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sakszvegChar">
    <w:name w:val="Csak szöveg Char"/>
    <w:basedOn w:val="Bekezdsalapbettpusa"/>
    <w:link w:val="Csakszveg"/>
    <w:rsid w:val="00EC3D88"/>
    <w:rPr>
      <w:rFonts w:ascii="Calibri" w:hAnsi="Calibri"/>
    </w:rPr>
  </w:style>
  <w:style w:type="paragraph" w:styleId="Csakszveg">
    <w:name w:val="Plain Text"/>
    <w:basedOn w:val="Norml"/>
    <w:link w:val="CsakszvegChar"/>
    <w:rsid w:val="00EC3D88"/>
    <w:rPr>
      <w:rFonts w:ascii="Calibri" w:eastAsia="Calibri" w:hAnsi="Calibri"/>
      <w:sz w:val="22"/>
      <w:szCs w:val="22"/>
      <w:lang w:eastAsia="en-US"/>
    </w:rPr>
  </w:style>
  <w:style w:type="character" w:customStyle="1" w:styleId="CsakszvegChar1">
    <w:name w:val="Csak szöveg Char1"/>
    <w:basedOn w:val="Bekezdsalapbettpusa"/>
    <w:link w:val="Csakszveg"/>
    <w:uiPriority w:val="99"/>
    <w:semiHidden/>
    <w:rsid w:val="00EC3D88"/>
    <w:rPr>
      <w:rFonts w:ascii="Consolas" w:eastAsia="Times New Roman" w:hAnsi="Consolas" w:cs="Times New Roman"/>
      <w:sz w:val="21"/>
      <w:szCs w:val="21"/>
      <w:lang w:eastAsia="hu-HU"/>
    </w:rPr>
  </w:style>
  <w:style w:type="paragraph" w:styleId="Felsorols">
    <w:name w:val="List Bullet"/>
    <w:basedOn w:val="Norml"/>
    <w:uiPriority w:val="99"/>
    <w:unhideWhenUsed/>
    <w:rsid w:val="008C37DE"/>
    <w:pPr>
      <w:numPr>
        <w:numId w:val="1"/>
      </w:numPr>
      <w:contextualSpacing/>
    </w:pPr>
  </w:style>
  <w:style w:type="character" w:styleId="Hiperhivatkozs">
    <w:name w:val="Hyperlink"/>
    <w:basedOn w:val="Bekezdsalapbettpusa"/>
    <w:uiPriority w:val="99"/>
    <w:rsid w:val="00971C5C"/>
    <w:rPr>
      <w:color w:val="0000FF"/>
      <w:u w:val="single"/>
    </w:rPr>
  </w:style>
  <w:style w:type="paragraph" w:styleId="NormlWeb">
    <w:name w:val="Normal (Web)"/>
    <w:basedOn w:val="Norml"/>
    <w:uiPriority w:val="99"/>
    <w:rsid w:val="00843D92"/>
    <w:pPr>
      <w:spacing w:before="100" w:beforeAutospacing="1" w:after="100" w:afterAutospacing="1"/>
    </w:pPr>
  </w:style>
  <w:style w:type="paragraph" w:styleId="Listaszerbekezds">
    <w:name w:val="List Paragraph"/>
    <w:basedOn w:val="Norml"/>
    <w:uiPriority w:val="34"/>
    <w:qFormat/>
    <w:rsid w:val="00843D92"/>
    <w:pPr>
      <w:spacing w:after="200" w:line="276" w:lineRule="auto"/>
      <w:ind w:left="720"/>
      <w:contextualSpacing/>
    </w:pPr>
    <w:rPr>
      <w:rFonts w:ascii="Calibri" w:eastAsia="Calibri" w:hAnsi="Calibri"/>
      <w:sz w:val="22"/>
      <w:szCs w:val="22"/>
      <w:lang w:eastAsia="en-US"/>
    </w:rPr>
  </w:style>
  <w:style w:type="paragraph" w:customStyle="1" w:styleId="CM4">
    <w:name w:val="CM4"/>
    <w:basedOn w:val="Norml"/>
    <w:next w:val="Norml"/>
    <w:rsid w:val="00033CE6"/>
    <w:pPr>
      <w:autoSpaceDE w:val="0"/>
      <w:autoSpaceDN w:val="0"/>
      <w:adjustRightInd w:val="0"/>
    </w:pPr>
    <w:rPr>
      <w:rFonts w:ascii="EUAlbertina" w:eastAsia="Calibri" w:hAnsi="EUAlbertina"/>
      <w:lang w:eastAsia="en-US"/>
    </w:rPr>
  </w:style>
  <w:style w:type="paragraph" w:styleId="lfej">
    <w:name w:val="header"/>
    <w:aliases w:val="header protocols,test,Header 1,H"/>
    <w:basedOn w:val="Norml"/>
    <w:link w:val="lfejChar"/>
    <w:rsid w:val="00950931"/>
    <w:pPr>
      <w:tabs>
        <w:tab w:val="center" w:pos="4536"/>
        <w:tab w:val="right" w:pos="9072"/>
      </w:tabs>
    </w:pPr>
  </w:style>
  <w:style w:type="character" w:customStyle="1" w:styleId="lfejChar">
    <w:name w:val="Élőfej Char"/>
    <w:aliases w:val="header protocols Char,test Char,Header 1 Char,H Char"/>
    <w:basedOn w:val="Bekezdsalapbettpusa"/>
    <w:link w:val="lfej"/>
    <w:uiPriority w:val="99"/>
    <w:rsid w:val="00950931"/>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4D0745"/>
    <w:rPr>
      <w:color w:val="800080"/>
      <w:u w:val="single"/>
    </w:rPr>
  </w:style>
  <w:style w:type="character" w:customStyle="1" w:styleId="Cmsor1Char">
    <w:name w:val="Címsor 1 Char"/>
    <w:basedOn w:val="Bekezdsalapbettpusa"/>
    <w:link w:val="Cmsor1"/>
    <w:rsid w:val="00656C99"/>
    <w:rPr>
      <w:rFonts w:ascii="Times New Roman" w:eastAsia="Times New Roman" w:hAnsi="Times New Roman"/>
      <w:b/>
      <w:sz w:val="24"/>
    </w:rPr>
  </w:style>
  <w:style w:type="character" w:customStyle="1" w:styleId="Cmsor2Char">
    <w:name w:val="Címsor 2 Char"/>
    <w:basedOn w:val="Bekezdsalapbettpusa"/>
    <w:link w:val="Cmsor2"/>
    <w:semiHidden/>
    <w:rsid w:val="00656C99"/>
    <w:rPr>
      <w:rFonts w:ascii="Times New Roman" w:eastAsia="Times New Roman" w:hAnsi="Times New Roman"/>
      <w:b/>
      <w:sz w:val="28"/>
    </w:rPr>
  </w:style>
  <w:style w:type="paragraph" w:styleId="Buborkszveg">
    <w:name w:val="Balloon Text"/>
    <w:basedOn w:val="Norml"/>
    <w:link w:val="BuborkszvegChar"/>
    <w:uiPriority w:val="99"/>
    <w:semiHidden/>
    <w:unhideWhenUsed/>
    <w:rsid w:val="004C1F15"/>
    <w:rPr>
      <w:rFonts w:ascii="Tahoma" w:hAnsi="Tahoma" w:cs="Tahoma"/>
      <w:sz w:val="16"/>
      <w:szCs w:val="16"/>
    </w:rPr>
  </w:style>
  <w:style w:type="character" w:customStyle="1" w:styleId="BuborkszvegChar">
    <w:name w:val="Buborékszöveg Char"/>
    <w:basedOn w:val="Bekezdsalapbettpusa"/>
    <w:link w:val="Buborkszveg"/>
    <w:uiPriority w:val="99"/>
    <w:semiHidden/>
    <w:rsid w:val="004C1F15"/>
    <w:rPr>
      <w:rFonts w:ascii="Tahoma" w:eastAsia="Times New Roman" w:hAnsi="Tahoma" w:cs="Tahoma"/>
      <w:sz w:val="16"/>
      <w:szCs w:val="16"/>
    </w:rPr>
  </w:style>
  <w:style w:type="paragraph" w:customStyle="1" w:styleId="Default">
    <w:name w:val="Default"/>
    <w:rsid w:val="003D2822"/>
    <w:pPr>
      <w:autoSpaceDE w:val="0"/>
      <w:autoSpaceDN w:val="0"/>
      <w:adjustRightInd w:val="0"/>
    </w:pPr>
    <w:rPr>
      <w:rFonts w:ascii="Arial" w:eastAsiaTheme="minorHAnsi" w:hAnsi="Arial" w:cs="Arial"/>
      <w:color w:val="000000"/>
      <w:sz w:val="24"/>
      <w:szCs w:val="24"/>
      <w:lang w:eastAsia="en-US"/>
    </w:rPr>
  </w:style>
  <w:style w:type="character" w:customStyle="1" w:styleId="Cmsor3Char">
    <w:name w:val="Címsor 3 Char"/>
    <w:basedOn w:val="Bekezdsalapbettpusa"/>
    <w:link w:val="Cmsor3"/>
    <w:uiPriority w:val="99"/>
    <w:rsid w:val="00E31E34"/>
    <w:rPr>
      <w:rFonts w:ascii="Arial" w:eastAsia="Times New Roman" w:hAnsi="Arial" w:cs="Arial"/>
      <w:b/>
      <w:bCs/>
      <w:sz w:val="26"/>
      <w:szCs w:val="26"/>
      <w:lang w:eastAsia="el-GR"/>
    </w:rPr>
  </w:style>
  <w:style w:type="table" w:styleId="Rcsostblzat">
    <w:name w:val="Table Grid"/>
    <w:basedOn w:val="Normltblzat"/>
    <w:uiPriority w:val="59"/>
    <w:rsid w:val="00817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776135">
      <w:bodyDiv w:val="1"/>
      <w:marLeft w:val="0"/>
      <w:marRight w:val="0"/>
      <w:marTop w:val="0"/>
      <w:marBottom w:val="0"/>
      <w:divBdr>
        <w:top w:val="none" w:sz="0" w:space="0" w:color="auto"/>
        <w:left w:val="none" w:sz="0" w:space="0" w:color="auto"/>
        <w:bottom w:val="none" w:sz="0" w:space="0" w:color="auto"/>
        <w:right w:val="none" w:sz="0" w:space="0" w:color="auto"/>
      </w:divBdr>
    </w:div>
    <w:div w:id="503057228">
      <w:bodyDiv w:val="1"/>
      <w:marLeft w:val="0"/>
      <w:marRight w:val="0"/>
      <w:marTop w:val="0"/>
      <w:marBottom w:val="0"/>
      <w:divBdr>
        <w:top w:val="none" w:sz="0" w:space="0" w:color="auto"/>
        <w:left w:val="none" w:sz="0" w:space="0" w:color="auto"/>
        <w:bottom w:val="none" w:sz="0" w:space="0" w:color="auto"/>
        <w:right w:val="none" w:sz="0" w:space="0" w:color="auto"/>
      </w:divBdr>
    </w:div>
    <w:div w:id="914775871">
      <w:bodyDiv w:val="1"/>
      <w:marLeft w:val="0"/>
      <w:marRight w:val="0"/>
      <w:marTop w:val="0"/>
      <w:marBottom w:val="0"/>
      <w:divBdr>
        <w:top w:val="none" w:sz="0" w:space="0" w:color="auto"/>
        <w:left w:val="none" w:sz="0" w:space="0" w:color="auto"/>
        <w:bottom w:val="none" w:sz="0" w:space="0" w:color="auto"/>
        <w:right w:val="none" w:sz="0" w:space="0" w:color="auto"/>
      </w:divBdr>
    </w:div>
    <w:div w:id="1166897502">
      <w:bodyDiv w:val="1"/>
      <w:marLeft w:val="0"/>
      <w:marRight w:val="0"/>
      <w:marTop w:val="0"/>
      <w:marBottom w:val="0"/>
      <w:divBdr>
        <w:top w:val="none" w:sz="0" w:space="0" w:color="auto"/>
        <w:left w:val="none" w:sz="0" w:space="0" w:color="auto"/>
        <w:bottom w:val="none" w:sz="0" w:space="0" w:color="auto"/>
        <w:right w:val="none" w:sz="0" w:space="0" w:color="auto"/>
      </w:divBdr>
    </w:div>
    <w:div w:id="1214073167">
      <w:bodyDiv w:val="1"/>
      <w:marLeft w:val="0"/>
      <w:marRight w:val="0"/>
      <w:marTop w:val="0"/>
      <w:marBottom w:val="0"/>
      <w:divBdr>
        <w:top w:val="none" w:sz="0" w:space="0" w:color="auto"/>
        <w:left w:val="none" w:sz="0" w:space="0" w:color="auto"/>
        <w:bottom w:val="none" w:sz="0" w:space="0" w:color="auto"/>
        <w:right w:val="none" w:sz="0" w:space="0" w:color="auto"/>
      </w:divBdr>
    </w:div>
    <w:div w:id="1681077652">
      <w:bodyDiv w:val="1"/>
      <w:marLeft w:val="0"/>
      <w:marRight w:val="0"/>
      <w:marTop w:val="0"/>
      <w:marBottom w:val="0"/>
      <w:divBdr>
        <w:top w:val="none" w:sz="0" w:space="0" w:color="auto"/>
        <w:left w:val="none" w:sz="0" w:space="0" w:color="auto"/>
        <w:bottom w:val="none" w:sz="0" w:space="0" w:color="auto"/>
        <w:right w:val="none" w:sz="0" w:space="0" w:color="auto"/>
      </w:divBdr>
    </w:div>
    <w:div w:id="194865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zaboY@nebih.gov.hu" TargetMode="External"/><Relationship Id="rId18" Type="http://schemas.openxmlformats.org/officeDocument/2006/relationships/hyperlink" Target="mailto:BagiN@nebih.gov.hu" TargetMode="External"/><Relationship Id="rId26" Type="http://schemas.openxmlformats.org/officeDocument/2006/relationships/hyperlink" Target="mailto:PalovicsA@nebih.gov.hu%20" TargetMode="External"/><Relationship Id="rId39" Type="http://schemas.openxmlformats.org/officeDocument/2006/relationships/hyperlink" Target="mailto:pppadmin@ec.europa.eu" TargetMode="External"/><Relationship Id="rId21" Type="http://schemas.openxmlformats.org/officeDocument/2006/relationships/hyperlink" Target="mailto:DienesD@nebih.gov.hu" TargetMode="External"/><Relationship Id="rId34" Type="http://schemas.openxmlformats.org/officeDocument/2006/relationships/hyperlink" Target="mailto:SzaboneG@nebih.gov.hu" TargetMode="External"/><Relationship Id="rId42" Type="http://schemas.openxmlformats.org/officeDocument/2006/relationships/hyperlink" Target="mailto:jankaa@nebih.gov.hu" TargetMode="External"/><Relationship Id="rId47" Type="http://schemas.openxmlformats.org/officeDocument/2006/relationships/hyperlink" Target="http://elelmiszerlanc.kormany.hu/download/b/01/21000/MGY%20FATE.pdf" TargetMode="External"/><Relationship Id="rId50" Type="http://schemas.openxmlformats.org/officeDocument/2006/relationships/hyperlink" Target="mailto:ppp.registration@nebih.gov.hu" TargetMode="External"/><Relationship Id="rId55" Type="http://schemas.openxmlformats.org/officeDocument/2006/relationships/theme" Target="theme/theme1.xml"/><Relationship Id="rId7" Type="http://schemas.openxmlformats.org/officeDocument/2006/relationships/hyperlink" Target="mailto:BaranyiT@nebih.gov.hu" TargetMode="External"/><Relationship Id="rId12" Type="http://schemas.openxmlformats.org/officeDocument/2006/relationships/hyperlink" Target="mailto:KelemenM@nebih.gov.hu" TargetMode="External"/><Relationship Id="rId17" Type="http://schemas.openxmlformats.org/officeDocument/2006/relationships/hyperlink" Target="mailto:TokesG@nebih.gov.hu" TargetMode="External"/><Relationship Id="rId25" Type="http://schemas.openxmlformats.org/officeDocument/2006/relationships/hyperlink" Target="mailto:Papp-BozsikJ@nebih.gov.hu%20" TargetMode="External"/><Relationship Id="rId33" Type="http://schemas.openxmlformats.org/officeDocument/2006/relationships/hyperlink" Target="mailto:RipkaG@nebih.gov.hu" TargetMode="External"/><Relationship Id="rId38" Type="http://schemas.openxmlformats.org/officeDocument/2006/relationships/hyperlink" Target="http://ec.europa.eu/food/plant/pesticides/guidance_documents/docs/guidance_document_on_list_of_studies_en.pdf" TargetMode="External"/><Relationship Id="rId46" Type="http://schemas.openxmlformats.org/officeDocument/2006/relationships/hyperlink" Target="http://elelmiszerlanc.kormany.hu/download/a/01/21000/MGY%20GEP.pdf" TargetMode="External"/><Relationship Id="rId2" Type="http://schemas.openxmlformats.org/officeDocument/2006/relationships/numbering" Target="numbering.xml"/><Relationship Id="rId16" Type="http://schemas.openxmlformats.org/officeDocument/2006/relationships/hyperlink" Target="mailto:TotE@nebih.gov.hu" TargetMode="External"/><Relationship Id="rId20" Type="http://schemas.openxmlformats.org/officeDocument/2006/relationships/hyperlink" Target="mailto:BotyanszkiA@nebih.gov.hu%20" TargetMode="External"/><Relationship Id="rId29" Type="http://schemas.openxmlformats.org/officeDocument/2006/relationships/hyperlink" Target="mailto:SomogyineE@nebih.gov.hu%20" TargetMode="External"/><Relationship Id="rId41" Type="http://schemas.openxmlformats.org/officeDocument/2006/relationships/hyperlink" Target="http://ec.europa.eu/food/plant/pesticides/eu-pesticides-database/public/?event=activesubstance.selection&amp;language=EN"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csneD@nebih.gov.hu%20" TargetMode="External"/><Relationship Id="rId11" Type="http://schemas.openxmlformats.org/officeDocument/2006/relationships/hyperlink" Target="mailto:KovariM@nebih.gov.hu" TargetMode="External"/><Relationship Id="rId24" Type="http://schemas.openxmlformats.org/officeDocument/2006/relationships/hyperlink" Target="mailto:JankaA@nebih.gov.hu" TargetMode="External"/><Relationship Id="rId32" Type="http://schemas.openxmlformats.org/officeDocument/2006/relationships/hyperlink" Target="mailto:PanczelM@nebih.gov.hu" TargetMode="External"/><Relationship Id="rId37" Type="http://schemas.openxmlformats.org/officeDocument/2006/relationships/hyperlink" Target="http://ec.europa.eu/food/plant/pesticides/guidance_documents/docs/guidance_document_data_protection_en.pdf" TargetMode="External"/><Relationship Id="rId40" Type="http://schemas.openxmlformats.org/officeDocument/2006/relationships/hyperlink" Target="http://ec.europa.eu/food/plant/pesticides/approval_active_substances/application_report/index_en.htm" TargetMode="External"/><Relationship Id="rId45" Type="http://schemas.openxmlformats.org/officeDocument/2006/relationships/hyperlink" Target="http://elelmiszerlanc.kormany.hu/download/9/01/21000/MGY%20BIOL.pdf" TargetMode="External"/><Relationship Id="rId53" Type="http://schemas.openxmlformats.org/officeDocument/2006/relationships/hyperlink" Target="http://www.nebih.gov.hu/szakteruletek/szakteruletek/noveny_talajvedelmi_ig/kozerdeku_adatok/szerforgalom" TargetMode="External"/><Relationship Id="rId5" Type="http://schemas.openxmlformats.org/officeDocument/2006/relationships/webSettings" Target="webSettings.xml"/><Relationship Id="rId15" Type="http://schemas.openxmlformats.org/officeDocument/2006/relationships/hyperlink" Target="mailto:TalaberC@nebih.gov.hu" TargetMode="External"/><Relationship Id="rId23" Type="http://schemas.openxmlformats.org/officeDocument/2006/relationships/hyperlink" Target="mailto:GriffT@nebih.gov.hu%20" TargetMode="External"/><Relationship Id="rId28" Type="http://schemas.openxmlformats.org/officeDocument/2006/relationships/hyperlink" Target="mailto:RepkenyiZ@nebih.gov.hu" TargetMode="External"/><Relationship Id="rId36" Type="http://schemas.openxmlformats.org/officeDocument/2006/relationships/hyperlink" Target="http://ec.europa.eu/food/plant/pesticides/guidance_documents/docs/template_notification_form_rev_0.doc" TargetMode="External"/><Relationship Id="rId49" Type="http://schemas.openxmlformats.org/officeDocument/2006/relationships/hyperlink" Target="http://elelmiszerlanc.kormany.hu/?_preview=613a32f3-67e6-c2c9-829e-00004a4f830f" TargetMode="External"/><Relationship Id="rId10" Type="http://schemas.openxmlformats.org/officeDocument/2006/relationships/hyperlink" Target="mailto:BoszormenyiE@nebih.gov.hu" TargetMode="External"/><Relationship Id="rId19" Type="http://schemas.openxmlformats.org/officeDocument/2006/relationships/hyperlink" Target="mailto:VinczeVik@nebih.gov.hu" TargetMode="External"/><Relationship Id="rId31" Type="http://schemas.openxmlformats.org/officeDocument/2006/relationships/hyperlink" Target="mailto:NovakR@nebih.gov.hu" TargetMode="External"/><Relationship Id="rId44" Type="http://schemas.openxmlformats.org/officeDocument/2006/relationships/hyperlink" Target="https://www.nebih.gov.hu/szakteruletek/szakteruletek/noveny_talajvedelmi_ig/kozerdeku_adatok/lejart_novved_szerek_jegyzeke/Oko_lista.html" TargetMode="External"/><Relationship Id="rId52" Type="http://schemas.openxmlformats.org/officeDocument/2006/relationships/hyperlink" Target="mailto:bleichere@nebih.gov.hu" TargetMode="External"/><Relationship Id="rId4" Type="http://schemas.openxmlformats.org/officeDocument/2006/relationships/settings" Target="settings.xml"/><Relationship Id="rId9" Type="http://schemas.openxmlformats.org/officeDocument/2006/relationships/hyperlink" Target="mailto:BotosneZs@nebih.gov.hu" TargetMode="External"/><Relationship Id="rId14" Type="http://schemas.openxmlformats.org/officeDocument/2006/relationships/hyperlink" Target="mailto:KissRita@nebih.gov.hu" TargetMode="External"/><Relationship Id="rId22" Type="http://schemas.openxmlformats.org/officeDocument/2006/relationships/hyperlink" Target="mailto:Fekete-Kerteszi@nebih.gov.hu" TargetMode="External"/><Relationship Id="rId27" Type="http://schemas.openxmlformats.org/officeDocument/2006/relationships/hyperlink" Target="mailto:A" TargetMode="External"/><Relationship Id="rId30" Type="http://schemas.openxmlformats.org/officeDocument/2006/relationships/hyperlink" Target="mailto:GalP@nebih.gov.hu" TargetMode="External"/><Relationship Id="rId35" Type="http://schemas.openxmlformats.org/officeDocument/2006/relationships/hyperlink" Target="http://ec.europa.eu/food/plant/pesticides/approval_active_substances/guidance_documents/docs/gd_renewal_1107-2009_rev_13.pdf" TargetMode="External"/><Relationship Id="rId43" Type="http://schemas.openxmlformats.org/officeDocument/2006/relationships/hyperlink" Target="http://ec.europa.eu/food/plant/pesticides/authorisation_of_ppp/pppams/index_en.htm" TargetMode="External"/><Relationship Id="rId48" Type="http://schemas.openxmlformats.org/officeDocument/2006/relationships/hyperlink" Target="http://elelmiszerlanc.kormany.hu/download/c/01/21000/MGY%20%C3%96KOTOX.pdf" TargetMode="External"/><Relationship Id="rId8" Type="http://schemas.openxmlformats.org/officeDocument/2006/relationships/hyperlink" Target="mailto:BleicherE@nebih.gov.hu" TargetMode="External"/><Relationship Id="rId51" Type="http://schemas.openxmlformats.org/officeDocument/2006/relationships/hyperlink" Target="mailto:tea@nebih.gov.hu" TargetMode="External"/><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54457-FDBA-45D6-9FD1-C54403A8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7006</Words>
  <Characters>48344</Characters>
  <Application>Microsoft Office Word</Application>
  <DocSecurity>0</DocSecurity>
  <Lines>402</Lines>
  <Paragraphs>110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boszormenyie</dc:creator>
  <cp:lastModifiedBy>NISZ</cp:lastModifiedBy>
  <cp:revision>2</cp:revision>
  <cp:lastPrinted>2016-01-14T12:39:00Z</cp:lastPrinted>
  <dcterms:created xsi:type="dcterms:W3CDTF">2016-01-20T11:48:00Z</dcterms:created>
  <dcterms:modified xsi:type="dcterms:W3CDTF">2016-01-20T11:48:00Z</dcterms:modified>
</cp:coreProperties>
</file>